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adjustRightInd w:val="0"/>
        <w:snapToGrid w:val="0"/>
        <w:spacing w:line="560" w:lineRule="exact"/>
        <w:rPr>
          <w:rFonts w:hint="eastAsia" w:ascii="方正小标宋简体" w:hAnsi="宋体" w:eastAsia="方正小标宋简体"/>
          <w:sz w:val="44"/>
          <w:szCs w:val="44"/>
        </w:rPr>
      </w:pPr>
      <w:r>
        <w:rPr>
          <w:rFonts w:hint="eastAsia" w:ascii="方正小标宋简体" w:hAnsi="宋体" w:eastAsia="方正小标宋简体"/>
          <w:sz w:val="44"/>
          <w:szCs w:val="44"/>
        </w:rPr>
        <w:t xml:space="preserve"> </w:t>
      </w:r>
    </w:p>
    <w:p>
      <w:pPr>
        <w:pStyle w:val="8"/>
        <w:widowControl w:val="0"/>
        <w:adjustRightInd w:val="0"/>
        <w:snapToGrid w:val="0"/>
        <w:spacing w:line="560" w:lineRule="exact"/>
        <w:rPr>
          <w:rFonts w:hint="eastAsia" w:ascii="方正小标宋简体" w:hAnsi="宋体" w:eastAsia="方正小标宋简体"/>
          <w:sz w:val="44"/>
          <w:szCs w:val="44"/>
        </w:rPr>
      </w:pPr>
    </w:p>
    <w:p>
      <w:pPr>
        <w:pStyle w:val="8"/>
        <w:widowControl w:val="0"/>
        <w:adjustRightInd w:val="0"/>
        <w:snapToGrid w:val="0"/>
        <w:spacing w:line="560" w:lineRule="exact"/>
        <w:rPr>
          <w:rFonts w:ascii="方正小标宋简体" w:hAnsi="宋体" w:eastAsia="方正小标宋简体"/>
          <w:sz w:val="44"/>
          <w:szCs w:val="44"/>
        </w:rPr>
      </w:pPr>
      <w:r>
        <w:rPr>
          <w:rFonts w:hint="eastAsia" w:ascii="方正小标宋简体" w:hAnsi="宋体" w:eastAsia="方正小标宋简体"/>
          <w:sz w:val="44"/>
          <w:szCs w:val="44"/>
        </w:rPr>
        <w:t>天津市滨海新区区属国有企业国有资产评估管理暂行办法</w:t>
      </w:r>
    </w:p>
    <w:p>
      <w:pPr>
        <w:adjustRightInd w:val="0"/>
        <w:snapToGrid w:val="0"/>
        <w:spacing w:beforeLines="100" w:afterLines="100" w:line="560" w:lineRule="exact"/>
        <w:jc w:val="center"/>
        <w:rPr>
          <w:rFonts w:ascii="宋体" w:hAnsi="宋体"/>
          <w:b/>
          <w:color w:val="000000"/>
          <w:sz w:val="30"/>
          <w:szCs w:val="30"/>
        </w:rPr>
      </w:pPr>
      <w:r>
        <w:rPr>
          <w:rFonts w:hint="eastAsia" w:ascii="宋体" w:hAnsi="宋体"/>
          <w:b/>
          <w:color w:val="000000"/>
          <w:sz w:val="30"/>
          <w:szCs w:val="30"/>
        </w:rPr>
        <w:t>第一章　总则</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 xml:space="preserve">第一条 </w:t>
      </w:r>
      <w:r>
        <w:rPr>
          <w:rFonts w:hint="eastAsia" w:ascii="仿宋_GB2312" w:hAnsi="宋体" w:eastAsia="仿宋_GB2312"/>
          <w:sz w:val="32"/>
          <w:szCs w:val="30"/>
          <w:shd w:val="clear" w:color="auto" w:fill="FFFFFF"/>
        </w:rPr>
        <w:t xml:space="preserve"> 为规范天津市滨海新区区属国有企业国有资产评估行为，维护国有资产出资人合法权益，促进企业国有产权有序流转，防止国有资产流失，根据《国有资产评估管理办法》（国务院令第91号）、《企业国有资产评估管理暂行办法》（国资委12号令）和《天津市国资委监管企业国有资产评估管理办法》</w:t>
      </w:r>
      <w:r>
        <w:rPr>
          <w:rFonts w:hint="eastAsia" w:ascii="仿宋_GB2312" w:hAnsi="仿宋_GB2312" w:eastAsia="仿宋_GB2312" w:cs="仿宋_GB2312"/>
          <w:sz w:val="32"/>
          <w:szCs w:val="32"/>
        </w:rPr>
        <w:t>（津国资</w:t>
      </w:r>
      <w:r>
        <w:rPr>
          <w:rFonts w:hint="eastAsia" w:ascii="仿宋_GB2312" w:hAnsi="仿宋_GB2312" w:eastAsia="仿宋_GB2312" w:cs="仿宋_GB2312"/>
          <w:bCs/>
          <w:sz w:val="32"/>
          <w:szCs w:val="32"/>
        </w:rPr>
        <w:t>〔2018〕</w:t>
      </w:r>
      <w:r>
        <w:rPr>
          <w:rFonts w:hint="eastAsia" w:ascii="仿宋_GB2312" w:hAnsi="仿宋_GB2312" w:eastAsia="仿宋_GB2312" w:cs="仿宋_GB2312"/>
          <w:sz w:val="32"/>
          <w:szCs w:val="32"/>
        </w:rPr>
        <w:t>5号）</w:t>
      </w:r>
      <w:r>
        <w:rPr>
          <w:rFonts w:hint="eastAsia" w:ascii="仿宋_GB2312" w:hAnsi="宋体" w:eastAsia="仿宋_GB2312"/>
          <w:sz w:val="32"/>
          <w:szCs w:val="30"/>
          <w:shd w:val="clear" w:color="auto" w:fill="FFFFFF"/>
        </w:rPr>
        <w:t>等有关法律法规，结合本区实际，制定本办法。</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第二条</w:t>
      </w:r>
      <w:r>
        <w:rPr>
          <w:rFonts w:hint="eastAsia" w:ascii="仿宋_GB2312" w:hAnsi="宋体" w:eastAsia="仿宋_GB2312"/>
          <w:sz w:val="32"/>
          <w:szCs w:val="30"/>
          <w:shd w:val="clear" w:color="auto" w:fill="FFFFFF"/>
        </w:rPr>
        <w:t xml:space="preserve">  天津市滨海新区国有资产监督管理委员会（以下简称区国资委）监管的企业(以下统称区属国有企业)及其各级国有及国有控股、国有实际控制企业（以下统称企业）涉及的资产评估项目，适用本办法。</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第三条</w:t>
      </w:r>
      <w:r>
        <w:rPr>
          <w:rFonts w:hint="eastAsia" w:ascii="仿宋_GB2312" w:hAnsi="宋体" w:eastAsia="仿宋_GB2312"/>
          <w:sz w:val="32"/>
          <w:szCs w:val="30"/>
          <w:shd w:val="clear" w:color="auto" w:fill="FFFFFF"/>
        </w:rPr>
        <w:t xml:space="preserve"> </w:t>
      </w:r>
      <w:r>
        <w:rPr>
          <w:rFonts w:hint="eastAsia" w:ascii="仿宋_GB2312" w:hAnsi="宋体" w:eastAsia="仿宋_GB2312"/>
          <w:sz w:val="32"/>
          <w:szCs w:val="30"/>
          <w:shd w:val="clear" w:color="auto" w:fill="FFFFFF"/>
          <w:lang w:val="en-US" w:eastAsia="zh-CN"/>
        </w:rPr>
        <w:t xml:space="preserve"> </w:t>
      </w:r>
      <w:r>
        <w:rPr>
          <w:rFonts w:hint="eastAsia" w:ascii="仿宋_GB2312" w:hAnsi="宋体" w:eastAsia="仿宋_GB2312"/>
          <w:sz w:val="32"/>
          <w:szCs w:val="30"/>
          <w:shd w:val="clear" w:color="auto" w:fill="FFFFFF"/>
        </w:rPr>
        <w:t>区国资委负责区属国有企业的国有资产评估监管工作。</w:t>
      </w:r>
    </w:p>
    <w:p>
      <w:pPr>
        <w:pStyle w:val="8"/>
        <w:widowControl w:val="0"/>
        <w:adjustRightInd w:val="0"/>
        <w:snapToGrid w:val="0"/>
        <w:spacing w:line="560" w:lineRule="exact"/>
        <w:ind w:firstLine="602"/>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 xml:space="preserve">第四条 </w:t>
      </w:r>
      <w:r>
        <w:rPr>
          <w:rFonts w:hint="eastAsia" w:ascii="仿宋_GB2312" w:hAnsi="宋体" w:eastAsia="仿宋_GB2312"/>
          <w:b/>
          <w:sz w:val="32"/>
          <w:szCs w:val="30"/>
          <w:shd w:val="clear" w:color="auto" w:fill="FFFFFF"/>
          <w:lang w:val="en-US" w:eastAsia="zh-CN"/>
        </w:rPr>
        <w:t xml:space="preserve"> </w:t>
      </w:r>
      <w:r>
        <w:rPr>
          <w:rFonts w:hint="eastAsia" w:ascii="仿宋_GB2312" w:hAnsi="宋体" w:eastAsia="仿宋_GB2312"/>
          <w:sz w:val="32"/>
          <w:szCs w:val="30"/>
          <w:shd w:val="clear" w:color="auto" w:fill="FFFFFF"/>
        </w:rPr>
        <w:t>国有资产评估项目实行核准制和备案制。</w:t>
      </w:r>
    </w:p>
    <w:p>
      <w:pPr>
        <w:pStyle w:val="8"/>
        <w:widowControl w:val="0"/>
        <w:adjustRightInd w:val="0"/>
        <w:snapToGrid w:val="0"/>
        <w:spacing w:line="560" w:lineRule="exact"/>
        <w:ind w:firstLine="602"/>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 xml:space="preserve">（一）经天津市滨海新区人民政府（以下简称区政府）批准经济行为的事项涉及的区属国有企业资产评估项目由区国资委负责核准。    </w:t>
      </w:r>
    </w:p>
    <w:p>
      <w:pPr>
        <w:pStyle w:val="8"/>
        <w:widowControl w:val="0"/>
        <w:adjustRightInd w:val="0"/>
        <w:snapToGrid w:val="0"/>
        <w:spacing w:line="560" w:lineRule="exact"/>
        <w:ind w:firstLine="602"/>
        <w:jc w:val="both"/>
        <w:rPr>
          <w:rFonts w:ascii="仿宋_GB2312" w:hAnsi="宋体" w:eastAsia="仿宋_GB2312"/>
          <w:b/>
          <w:sz w:val="32"/>
          <w:szCs w:val="30"/>
          <w:shd w:val="clear" w:color="auto" w:fill="FFFFFF"/>
        </w:rPr>
      </w:pPr>
      <w:r>
        <w:rPr>
          <w:rFonts w:hint="eastAsia" w:ascii="仿宋_GB2312" w:hAnsi="宋体" w:eastAsia="仿宋_GB2312"/>
          <w:sz w:val="32"/>
          <w:szCs w:val="30"/>
          <w:shd w:val="clear" w:color="auto" w:fill="FFFFFF"/>
        </w:rPr>
        <w:t>（二）除核准以外的资产评估项目，实行备案制，由区国资委负责备案。</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第五条</w:t>
      </w:r>
      <w:r>
        <w:rPr>
          <w:rFonts w:hint="eastAsia" w:ascii="仿宋_GB2312" w:hAnsi="宋体" w:eastAsia="仿宋_GB2312"/>
          <w:sz w:val="32"/>
          <w:szCs w:val="30"/>
          <w:shd w:val="clear" w:color="auto" w:fill="FFFFFF"/>
        </w:rPr>
        <w:t xml:space="preserve">  区属国有企业应当建立企业国有资产评估管理工作制度，资产评估管理工作制度包括但不限于以下内容：</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（一）部门工作职责。</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（二）建立完善内部审核机制。建立内部会审制度，结合内部企业实际状况，在上报国资监管部门审核前，须由区属国有企业内部承担产权管理、财务、审计等职能的部门联合会审。</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（三）内部审核备案规范程序。</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（四）审核内容。</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（五）资产评估项目的档案管理。</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（六）监督管理。</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p>
    <w:p>
      <w:pPr>
        <w:adjustRightInd w:val="0"/>
        <w:snapToGrid w:val="0"/>
        <w:spacing w:beforeLines="100" w:afterLines="100" w:line="560" w:lineRule="exact"/>
        <w:ind w:firstLine="602"/>
        <w:jc w:val="center"/>
        <w:rPr>
          <w:rFonts w:ascii="宋体" w:hAnsi="宋体"/>
          <w:b/>
          <w:color w:val="000000"/>
          <w:sz w:val="32"/>
          <w:szCs w:val="30"/>
        </w:rPr>
      </w:pPr>
      <w:r>
        <w:rPr>
          <w:rFonts w:hint="eastAsia" w:ascii="宋体" w:hAnsi="宋体"/>
          <w:b/>
          <w:color w:val="000000"/>
          <w:sz w:val="32"/>
          <w:szCs w:val="30"/>
        </w:rPr>
        <w:t>第二章　资产评估</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w:t>
      </w:r>
      <w:r>
        <w:rPr>
          <w:rFonts w:hint="eastAsia" w:ascii="仿宋_GB2312" w:hAnsi="宋体" w:eastAsia="仿宋_GB2312"/>
          <w:b/>
          <w:sz w:val="32"/>
          <w:szCs w:val="30"/>
          <w:shd w:val="clear" w:color="auto" w:fill="FFFFFF"/>
          <w:lang w:eastAsia="zh-CN"/>
        </w:rPr>
        <w:t>六</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企业有下列行为之一的，应当对相关资产进行评估：</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（一）整体或者部分改建为有限责任公司或者股份                                         有限公司；</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 xml:space="preserve">（二）以非货币资产对外投资； </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（三）合并、分立、破产、解散；</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（四）非上市公司国有股东股权比例变动；</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（五）产（股）权转让；</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（六）资产转让、置换；</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（七）整体资产或者部分资产租赁给非国有单位；</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（八）以非货币资产偿还债务；</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（九）资产涉讼；</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（十）收购非国有单位的资产；</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（十一）接受非国有单位以非货币资产出资；</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（十二）接受非国有单位以非货币资产抵债；</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（十三）法律、行政法规规定的其他需要进行资产评估的事项。</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w:t>
      </w:r>
      <w:r>
        <w:rPr>
          <w:rFonts w:hint="eastAsia" w:ascii="仿宋_GB2312" w:hAnsi="宋体" w:eastAsia="仿宋_GB2312"/>
          <w:b/>
          <w:sz w:val="32"/>
          <w:szCs w:val="30"/>
          <w:shd w:val="clear" w:color="auto" w:fill="FFFFFF"/>
          <w:lang w:eastAsia="zh-CN"/>
        </w:rPr>
        <w:t>七</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企业有下列行为之一的，按照《中华人民共和国公司法》、企业章程履行决策程序后，可以不对相关国有资产进行评估。</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（一）经有关单位依据规定批准的企业整体或者部分资产（产权）实施无偿划转；</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（二）国有独资企业与其下属独资企业之间或其下属独资企业之间的资产（产权）置换；</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 xml:space="preserve">（三）国有全资企业发生原股东增资、减资，经全体股东同意；                     </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（四）同一区属国有企业内部实施重组整合，转让方和受让方为该区属国有企业及其直接或间接全资拥有的子企业。</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 xml:space="preserve">（五）同一国有控股企业或国有实际控制企业内部实施重组整合，转让方和受让方为该国有控股企业或国有实际控制企业及其直接、间接全资拥有的子企业。                 </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（六）履行出资人职责的机构对区属国有企业增资的；</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（七）国有控股或国有实际控制企业对其独资子企业增资的。</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w:t>
      </w:r>
      <w:r>
        <w:rPr>
          <w:rFonts w:hint="eastAsia" w:ascii="仿宋_GB2312" w:hAnsi="宋体" w:eastAsia="仿宋_GB2312"/>
          <w:b/>
          <w:sz w:val="32"/>
          <w:szCs w:val="30"/>
          <w:shd w:val="clear" w:color="auto" w:fill="FFFFFF"/>
          <w:lang w:eastAsia="zh-CN"/>
        </w:rPr>
        <w:t>八</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企业发生第</w:t>
      </w:r>
      <w:r>
        <w:rPr>
          <w:rFonts w:hint="eastAsia" w:ascii="仿宋_GB2312" w:hAnsi="宋体" w:eastAsia="仿宋_GB2312"/>
          <w:sz w:val="32"/>
          <w:szCs w:val="30"/>
          <w:shd w:val="clear" w:color="auto" w:fill="FFFFFF"/>
          <w:lang w:eastAsia="zh-CN"/>
        </w:rPr>
        <w:t>六</w:t>
      </w:r>
      <w:r>
        <w:rPr>
          <w:rFonts w:hint="eastAsia" w:ascii="仿宋_GB2312" w:hAnsi="宋体" w:eastAsia="仿宋_GB2312"/>
          <w:sz w:val="32"/>
          <w:szCs w:val="30"/>
          <w:shd w:val="clear" w:color="auto" w:fill="FFFFFF"/>
        </w:rPr>
        <w:t>条所列行为的，应当委托具有相应资质的资产评估机构进行评估。</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针对不同经济行为，资产评估工作由以下不同主体委托：</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（一）经济行为事项涉及的评估对象属于企业法人财产权范围的，由企业委托；</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（二）经济行为事项涉及的评估对象属于企业产权等出资人权利的，按照产权关系，由企业的出资人或其上级单位委托，或者</w:t>
      </w:r>
      <w:r>
        <w:rPr>
          <w:rFonts w:ascii="仿宋_GB2312" w:hAnsi="宋体" w:eastAsia="仿宋_GB2312"/>
          <w:sz w:val="32"/>
          <w:szCs w:val="30"/>
          <w:shd w:val="clear" w:color="auto" w:fill="FFFFFF"/>
        </w:rPr>
        <w:t>与企业共同委托，</w:t>
      </w:r>
      <w:r>
        <w:rPr>
          <w:rFonts w:hint="eastAsia" w:ascii="仿宋_GB2312" w:hAnsi="宋体" w:eastAsia="仿宋_GB2312"/>
          <w:sz w:val="32"/>
          <w:szCs w:val="30"/>
          <w:shd w:val="clear" w:color="auto" w:fill="FFFFFF"/>
        </w:rPr>
        <w:t>其中增资项目由增资标的企业委托或</w:t>
      </w:r>
      <w:r>
        <w:rPr>
          <w:rFonts w:ascii="仿宋_GB2312" w:hAnsi="宋体" w:eastAsia="仿宋_GB2312"/>
          <w:sz w:val="32"/>
          <w:szCs w:val="30"/>
          <w:shd w:val="clear" w:color="auto" w:fill="FFFFFF"/>
        </w:rPr>
        <w:t>与</w:t>
      </w:r>
      <w:r>
        <w:rPr>
          <w:rFonts w:hint="eastAsia" w:ascii="仿宋_GB2312" w:hAnsi="宋体" w:eastAsia="仿宋_GB2312"/>
          <w:sz w:val="32"/>
          <w:szCs w:val="30"/>
          <w:shd w:val="clear" w:color="auto" w:fill="FFFFFF"/>
        </w:rPr>
        <w:t>其</w:t>
      </w:r>
      <w:r>
        <w:rPr>
          <w:rFonts w:ascii="仿宋_GB2312" w:hAnsi="宋体" w:eastAsia="仿宋_GB2312"/>
          <w:sz w:val="32"/>
          <w:szCs w:val="30"/>
          <w:shd w:val="clear" w:color="auto" w:fill="FFFFFF"/>
        </w:rPr>
        <w:t>大股东共同委托</w:t>
      </w:r>
      <w:r>
        <w:rPr>
          <w:rFonts w:hint="eastAsia" w:ascii="仿宋_GB2312" w:hAnsi="宋体" w:eastAsia="仿宋_GB2312"/>
          <w:sz w:val="32"/>
          <w:szCs w:val="30"/>
          <w:shd w:val="clear" w:color="auto" w:fill="FFFFFF"/>
        </w:rPr>
        <w:t>；</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（三）企业接受非国有资产等涉及非国有资产评估的，一般由接受非国有资产的企业或其出资人</w:t>
      </w:r>
      <w:r>
        <w:rPr>
          <w:rFonts w:ascii="仿宋_GB2312" w:hAnsi="宋体" w:eastAsia="仿宋_GB2312"/>
          <w:sz w:val="32"/>
          <w:szCs w:val="30"/>
          <w:shd w:val="clear" w:color="auto" w:fill="FFFFFF"/>
        </w:rPr>
        <w:t>、上级单位</w:t>
      </w:r>
      <w:r>
        <w:rPr>
          <w:rFonts w:hint="eastAsia" w:ascii="仿宋_GB2312" w:hAnsi="宋体" w:eastAsia="仿宋_GB2312"/>
          <w:sz w:val="32"/>
          <w:szCs w:val="30"/>
          <w:shd w:val="clear" w:color="auto" w:fill="FFFFFF"/>
        </w:rPr>
        <w:t>委托。</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w:t>
      </w:r>
      <w:r>
        <w:rPr>
          <w:rFonts w:hint="eastAsia" w:ascii="仿宋_GB2312" w:hAnsi="宋体" w:eastAsia="仿宋_GB2312"/>
          <w:b/>
          <w:sz w:val="32"/>
          <w:szCs w:val="30"/>
          <w:shd w:val="clear" w:color="auto" w:fill="FFFFFF"/>
          <w:lang w:eastAsia="zh-CN"/>
        </w:rPr>
        <w:t>九</w:t>
      </w:r>
      <w:r>
        <w:rPr>
          <w:rFonts w:hint="eastAsia" w:ascii="仿宋_GB2312" w:hAnsi="宋体" w:eastAsia="仿宋_GB2312"/>
          <w:b/>
          <w:sz w:val="32"/>
          <w:szCs w:val="30"/>
          <w:shd w:val="clear" w:color="auto" w:fill="FFFFFF"/>
        </w:rPr>
        <w:t xml:space="preserve">条 </w:t>
      </w:r>
      <w:r>
        <w:rPr>
          <w:rFonts w:hint="eastAsia" w:ascii="仿宋_GB2312" w:hAnsi="宋体" w:eastAsia="仿宋_GB2312"/>
          <w:sz w:val="32"/>
          <w:szCs w:val="30"/>
          <w:shd w:val="clear" w:color="auto" w:fill="FFFFFF"/>
        </w:rPr>
        <w:t>评估项目委托方涉及区国资委的，由区国资委在区国资委当期评估机构备选库中选聘评估机构，针对混合所有制改革项目在库内机构不满足需求的情况下，可</w:t>
      </w:r>
      <w:r>
        <w:rPr>
          <w:rFonts w:hint="eastAsia" w:ascii="仿宋_GB2312" w:hAnsi="宋体" w:eastAsia="仿宋_GB2312"/>
          <w:sz w:val="32"/>
          <w:szCs w:val="30"/>
          <w:shd w:val="clear" w:color="auto" w:fill="FFFFFF"/>
          <w:lang w:eastAsia="zh-CN"/>
        </w:rPr>
        <w:t>采用政府采购方式</w:t>
      </w:r>
      <w:r>
        <w:rPr>
          <w:rFonts w:hint="eastAsia" w:ascii="仿宋_GB2312" w:hAnsi="宋体" w:eastAsia="仿宋_GB2312"/>
          <w:sz w:val="32"/>
          <w:szCs w:val="30"/>
          <w:shd w:val="clear" w:color="auto" w:fill="FFFFFF"/>
        </w:rPr>
        <w:t>面向全国范围公开遴选评估机构。</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第十条</w:t>
      </w:r>
      <w:r>
        <w:rPr>
          <w:rFonts w:hint="eastAsia" w:ascii="仿宋_GB2312" w:hAnsi="宋体" w:eastAsia="仿宋_GB2312"/>
          <w:sz w:val="32"/>
          <w:szCs w:val="30"/>
          <w:shd w:val="clear" w:color="auto" w:fill="FFFFFF"/>
        </w:rPr>
        <w:t xml:space="preserve">  企业产权持有单位委托的资产评估机构应当为区国资委当期评估机构备选库内的机构，并与企业负责人无经济利益关系，且未向同一经济行为提供审计业务服务。涉及特别重大、重要的资产评估项目，经向区国资委申报批准后，可参照第</w:t>
      </w:r>
      <w:r>
        <w:rPr>
          <w:rFonts w:hint="eastAsia" w:ascii="仿宋_GB2312" w:hAnsi="宋体" w:eastAsia="仿宋_GB2312"/>
          <w:sz w:val="32"/>
          <w:szCs w:val="30"/>
          <w:shd w:val="clear" w:color="auto" w:fill="FFFFFF"/>
          <w:lang w:eastAsia="zh-CN"/>
        </w:rPr>
        <w:t>九</w:t>
      </w:r>
      <w:r>
        <w:rPr>
          <w:rFonts w:hint="eastAsia" w:ascii="仿宋_GB2312" w:hAnsi="宋体" w:eastAsia="仿宋_GB2312"/>
          <w:sz w:val="32"/>
          <w:szCs w:val="30"/>
          <w:shd w:val="clear" w:color="auto" w:fill="FFFFFF"/>
        </w:rPr>
        <w:t>条面向全国公开遴选评估机构。</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一</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企业应当向资产评估机构如实提供有关情况和资料，并对所提供情况和资料的真实性、合法性和完整性负责，不得隐匿或虚报资产。</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二</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企业应当积极配合资产评估机构开展工作，不得以任何形式干预其正常执业行为。</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三</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涉及企业价值的资产评估项目，以持续经营为前提进行评估时，原则上要求采用两种以上方法进行评估，并在评估报告中列示，依据实际状况充分、全面分析后，确定其中一个评估结果作为评估报告使用结果。同时，对企业进行价值评估，企业应当提供与经济行为相对应的评估基准日审计报告。</w:t>
      </w:r>
    </w:p>
    <w:p>
      <w:pPr>
        <w:adjustRightInd w:val="0"/>
        <w:snapToGrid w:val="0"/>
        <w:spacing w:beforeLines="100" w:afterLines="100" w:line="560" w:lineRule="exact"/>
        <w:jc w:val="center"/>
        <w:rPr>
          <w:rFonts w:ascii="宋体" w:hAnsi="宋体"/>
          <w:b/>
          <w:color w:val="000000"/>
          <w:sz w:val="32"/>
          <w:szCs w:val="30"/>
        </w:rPr>
      </w:pPr>
      <w:r>
        <w:rPr>
          <w:rFonts w:hint="eastAsia" w:ascii="宋体" w:hAnsi="宋体"/>
          <w:b/>
          <w:color w:val="000000"/>
          <w:sz w:val="32"/>
          <w:szCs w:val="30"/>
        </w:rPr>
        <w:t>第三章　核准与备案</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四</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凡需经核准的资产评估项目，企业在资产评估前应当向区国资委报告下列有关事项：</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（一）相关经济行为批准情况；</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（二）评估基准日的选择情况；</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（三）资产评估范围的确定情况；</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（四）选择资产评估机构的条件、范围、程序及拟选定机构的资质、专业特长情况；</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（五）资产评估的时间进度安排情况。</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五</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企业应当及时向区国资委报告资产评估项目的工作进展情况。区国资委认为必要时，可以对该项目进行跟踪指导和现场检查。</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六</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资产评估项目的核准按照下列程序进行：</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资产评估</w:t>
      </w:r>
      <w:r>
        <w:rPr>
          <w:rFonts w:ascii="仿宋_GB2312" w:hAnsi="宋体" w:eastAsia="仿宋_GB2312"/>
          <w:sz w:val="32"/>
          <w:szCs w:val="30"/>
          <w:shd w:val="clear" w:color="auto" w:fill="FFFFFF"/>
        </w:rPr>
        <w:t>项目相关委托方</w:t>
      </w:r>
      <w:r>
        <w:rPr>
          <w:rFonts w:hint="eastAsia" w:ascii="仿宋_GB2312" w:hAnsi="宋体" w:eastAsia="仿宋_GB2312"/>
          <w:sz w:val="32"/>
          <w:szCs w:val="30"/>
          <w:shd w:val="clear" w:color="auto" w:fill="FFFFFF"/>
        </w:rPr>
        <w:t>收到资产评估机构出具的评估报告，经内部审核后，</w:t>
      </w:r>
      <w:r>
        <w:rPr>
          <w:rFonts w:ascii="仿宋_GB2312" w:hAnsi="宋体" w:eastAsia="仿宋_GB2312"/>
          <w:sz w:val="32"/>
          <w:szCs w:val="30"/>
          <w:shd w:val="clear" w:color="auto" w:fill="FFFFFF"/>
        </w:rPr>
        <w:t>依据规定进行评估项目公示</w:t>
      </w:r>
      <w:r>
        <w:rPr>
          <w:rFonts w:hint="eastAsia" w:ascii="仿宋_GB2312" w:hAnsi="宋体" w:eastAsia="仿宋_GB2312"/>
          <w:sz w:val="32"/>
          <w:szCs w:val="30"/>
          <w:shd w:val="clear" w:color="auto" w:fill="FFFFFF"/>
        </w:rPr>
        <w:t>，自评估基准日起8个月内向区国资委提出核准申请，组织专家评审，评估报告经审核无异议后，在20个工作日内完成对评估报告的核准。其中涉及区政府实施分级管理的企业，向区国资委上报申请前应取得所在管委会同意评估核准结果的批复文件;对于重大项目，所在管委会国资监管部门可组织专家评审作为管委会决策依据。</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七</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对需核准的资产评估项目，区国资委应审查下列文件材料：</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（一）资产评估项目核准申请文件；</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（二）资产评估项目核准申请表；</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（三）与评估目的相对应的经济行为批准文件或有效材料；</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（四）所涉及的资产重组方案或者改制方案、发起人协议等材料；</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（五）资产评估机构提交的资产评估报告（包括评估报告书、评估说明、评估明细表及其电子文档）；</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（六）与经济行为相对应的审计报告；</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（七）资产评估各当事方的相关承诺函；</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（八）其他有关材料。</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八</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区国资委应当对下列事项进行审核：</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（一）资产评估项目所涉及的经济行为是否获得批准；</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（二）资产评估机构是否具备相应评估资质；</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（三）评估人员是否具备相应执业资格；</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（四）评估基准日的选择是否适当，评估结果的使用有效期是否明示；</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（五）资产评估范围与经济行为批准文件确定的资产范围是否一致；</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（六）评估依据是否适当；</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（七）企业是否就所提供的资产权属证明文件、财务会计资料及生产经营管理资料的真实性、合法性和完整性做出承诺；</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（八）评估过程是否符合相关评估准则的规定；</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（九）参与审核的专家是否达成一致意见。</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第十</w:t>
      </w:r>
      <w:r>
        <w:rPr>
          <w:rFonts w:hint="eastAsia" w:ascii="仿宋_GB2312" w:hAnsi="宋体" w:eastAsia="仿宋_GB2312"/>
          <w:b/>
          <w:sz w:val="32"/>
          <w:szCs w:val="30"/>
          <w:shd w:val="clear" w:color="auto" w:fill="FFFFFF"/>
          <w:lang w:eastAsia="zh-CN"/>
        </w:rPr>
        <w:t>九</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资产评估项目的备案按照下列程序进行：</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区属国有企业收到资产评估机构出具的评估报告后，经内部审核后，依据规定进行评估项目公示，自评估基准日起9个月内向区国资委提出备案申请</w:t>
      </w:r>
      <w:r>
        <w:rPr>
          <w:rFonts w:hint="eastAsia" w:ascii="仿宋_GB2312" w:hAnsi="宋体" w:eastAsia="仿宋_GB2312"/>
          <w:sz w:val="32"/>
          <w:szCs w:val="30"/>
          <w:shd w:val="clear" w:color="auto" w:fill="FFFFFF"/>
          <w:lang w:eastAsia="zh-CN"/>
        </w:rPr>
        <w:t>。</w:t>
      </w:r>
      <w:r>
        <w:rPr>
          <w:rFonts w:hint="eastAsia" w:ascii="仿宋_GB2312" w:hAnsi="宋体" w:eastAsia="仿宋_GB2312"/>
          <w:sz w:val="32"/>
          <w:szCs w:val="30"/>
          <w:shd w:val="clear" w:color="auto" w:fill="FFFFFF"/>
        </w:rPr>
        <w:t>需经专家评审后予以备案的项目组织专家评审，对材料齐全的，评估报告经审核无异议后，在10个工作日内办理备案手续。其中涉及区政府实施分级管理的企业，向区国资委上报申请前应取得所在管委会同意评估备案结果的批复文件;对于重大项目，所在管委会国资监管部门可组织专家评审作为管委会决策依据。</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第二十条</w:t>
      </w:r>
      <w:r>
        <w:rPr>
          <w:rFonts w:hint="eastAsia" w:ascii="仿宋_GB2312" w:hAnsi="宋体" w:eastAsia="仿宋_GB2312"/>
          <w:sz w:val="32"/>
          <w:szCs w:val="30"/>
          <w:shd w:val="clear" w:color="auto" w:fill="FFFFFF"/>
        </w:rPr>
        <w:t xml:space="preserve">  资产评估项目备案需报送下列文件材料：</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（一）国有资产评估项目备案表一式三份；</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（二）资产评估报告（评估报告书、评估说明和评估明细表及其电子文档）；</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（三）与资产评估项目相对应的经济行为批准文件；</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（四）其他有关材料。</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一</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区国资委根据下列情况确定是否对资产评估项目予以备案：</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（一）资产评估所涉及的经济行为是否获得批准；</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（二）资产评估机构是否具备相应评估资质，评估人员是否具备相应执业资格；</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（三）评估基准日的选择是否适当，评估结果的使用有效期是否明示；</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（四）资产评估范围与经济行为批准文件确定的资产范围是否一致；</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（五）企业是否就所提供的资产权属证明文件、财务会计资料及生产经营管理资料的真实性、合法性和完整性作出承诺；</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（六）评估程序是否符合相关评估准则的规定；</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（七）涉及专家评审的项目，参与审核的专家是否达成一致意见。</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二</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评估</w:t>
      </w:r>
      <w:r>
        <w:rPr>
          <w:rFonts w:ascii="仿宋_GB2312" w:hAnsi="宋体" w:eastAsia="仿宋_GB2312"/>
          <w:sz w:val="32"/>
          <w:szCs w:val="30"/>
          <w:shd w:val="clear" w:color="auto" w:fill="FFFFFF"/>
        </w:rPr>
        <w:t>项目经济行为涉及多个</w:t>
      </w:r>
      <w:r>
        <w:rPr>
          <w:rFonts w:hint="eastAsia" w:ascii="仿宋_GB2312" w:hAnsi="宋体" w:eastAsia="仿宋_GB2312"/>
          <w:sz w:val="32"/>
          <w:szCs w:val="30"/>
          <w:shd w:val="clear" w:color="auto" w:fill="FFFFFF"/>
        </w:rPr>
        <w:t>国有</w:t>
      </w:r>
      <w:r>
        <w:rPr>
          <w:rFonts w:ascii="仿宋_GB2312" w:hAnsi="宋体" w:eastAsia="仿宋_GB2312"/>
          <w:sz w:val="32"/>
          <w:szCs w:val="30"/>
          <w:shd w:val="clear" w:color="auto" w:fill="FFFFFF"/>
        </w:rPr>
        <w:t>股东的，</w:t>
      </w:r>
      <w:r>
        <w:rPr>
          <w:rFonts w:hint="eastAsia" w:ascii="仿宋_GB2312" w:hAnsi="宋体" w:eastAsia="仿宋_GB2312"/>
          <w:sz w:val="32"/>
          <w:szCs w:val="30"/>
          <w:shd w:val="clear" w:color="auto" w:fill="FFFFFF"/>
        </w:rPr>
        <w:t>经协商一致可由国有股最大股东依照其产权关系办理核准或备案手续；国有股股东持股比例相等的，经协商一致可由其中一方依照其产权关系办理核准或备案手续。</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三</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企业发生本办法第</w:t>
      </w:r>
      <w:r>
        <w:rPr>
          <w:rFonts w:hint="eastAsia" w:ascii="仿宋_GB2312" w:hAnsi="宋体" w:eastAsia="仿宋_GB2312"/>
          <w:sz w:val="32"/>
          <w:szCs w:val="30"/>
          <w:shd w:val="clear" w:color="auto" w:fill="FFFFFF"/>
          <w:lang w:eastAsia="zh-CN"/>
        </w:rPr>
        <w:t>六</w:t>
      </w:r>
      <w:r>
        <w:rPr>
          <w:rFonts w:hint="eastAsia" w:ascii="仿宋_GB2312" w:hAnsi="宋体" w:eastAsia="仿宋_GB2312"/>
          <w:sz w:val="32"/>
          <w:szCs w:val="30"/>
          <w:shd w:val="clear" w:color="auto" w:fill="FFFFFF"/>
        </w:rPr>
        <w:t>条所列经济行为，需要对接受的非国有资产进行评估的，接受企业应按照其产权关系将评估项目报区国资委备案。</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四</w:t>
      </w:r>
      <w:r>
        <w:rPr>
          <w:rFonts w:hint="eastAsia" w:ascii="仿宋_GB2312" w:hAnsi="宋体" w:eastAsia="仿宋_GB2312"/>
          <w:b/>
          <w:sz w:val="32"/>
          <w:szCs w:val="30"/>
          <w:shd w:val="clear" w:color="auto" w:fill="FFFFFF"/>
        </w:rPr>
        <w:t xml:space="preserve">条 </w:t>
      </w:r>
      <w:r>
        <w:rPr>
          <w:rFonts w:hint="eastAsia" w:ascii="仿宋_GB2312" w:hAnsi="宋体" w:eastAsia="仿宋_GB2312"/>
          <w:sz w:val="32"/>
          <w:szCs w:val="30"/>
          <w:shd w:val="clear" w:color="auto" w:fill="FFFFFF"/>
        </w:rPr>
        <w:t xml:space="preserve"> 区国资委下达的资产评估项目核准文件和经区国资委备案的资产评估项目备案表是企业办理产权登记、股权设置和产权转让等相关手续的必备文件。</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五</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为适应本办法第</w:t>
      </w:r>
      <w:r>
        <w:rPr>
          <w:rFonts w:hint="eastAsia" w:ascii="仿宋_GB2312" w:hAnsi="宋体" w:eastAsia="仿宋_GB2312"/>
          <w:sz w:val="32"/>
          <w:szCs w:val="30"/>
          <w:shd w:val="clear" w:color="auto" w:fill="FFFFFF"/>
          <w:lang w:eastAsia="zh-CN"/>
        </w:rPr>
        <w:t>六</w:t>
      </w:r>
      <w:r>
        <w:rPr>
          <w:rFonts w:hint="eastAsia" w:ascii="仿宋_GB2312" w:hAnsi="宋体" w:eastAsia="仿宋_GB2312"/>
          <w:sz w:val="32"/>
          <w:szCs w:val="30"/>
          <w:shd w:val="clear" w:color="auto" w:fill="FFFFFF"/>
        </w:rPr>
        <w:t>条所列各类经济行为资产评估项目备案的需要，将资产评估项目备案表分为国有资产评估项目备案表（附件1）和接受非国有资产评估项目备案表（附件2）两类。各级企业进行资产评估项目备案时，应按附件的格式和内容填报办理。</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六</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经核准或备案的资产评估结果使用有效期为自评估基准日起1年。</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七</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进行与资产评估相应的经济行为时，应当以经核准或备案的资产评估结果为作价参考依据；当交易价格低于评估结果的90%时，应当暂停交易，企业应就其差异原因向原经济行为批准机构提出书面申请，并在获得其同意后方可继续交易。</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第二十</w:t>
      </w:r>
      <w:r>
        <w:rPr>
          <w:rFonts w:hint="eastAsia" w:ascii="仿宋_GB2312" w:hAnsi="宋体" w:eastAsia="仿宋_GB2312"/>
          <w:b/>
          <w:sz w:val="32"/>
          <w:szCs w:val="30"/>
          <w:shd w:val="clear" w:color="auto" w:fill="FFFFFF"/>
          <w:lang w:eastAsia="zh-CN"/>
        </w:rPr>
        <w:t>八</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资产评估核准项目和需经专家评审后予以备案的项目，涉及其他环节组织专家评审的，以区国资委最终认定为准。</w:t>
      </w:r>
    </w:p>
    <w:p>
      <w:pPr>
        <w:adjustRightInd w:val="0"/>
        <w:snapToGrid w:val="0"/>
        <w:spacing w:beforeLines="100" w:afterLines="100" w:line="560" w:lineRule="exact"/>
        <w:jc w:val="center"/>
        <w:rPr>
          <w:rFonts w:ascii="宋体" w:hAnsi="宋体"/>
          <w:b/>
          <w:color w:val="000000"/>
          <w:sz w:val="32"/>
          <w:szCs w:val="30"/>
        </w:rPr>
      </w:pPr>
      <w:r>
        <w:rPr>
          <w:rFonts w:hint="eastAsia" w:ascii="宋体" w:hAnsi="宋体"/>
          <w:b/>
          <w:color w:val="000000"/>
          <w:sz w:val="32"/>
          <w:szCs w:val="30"/>
        </w:rPr>
        <w:t>第四章  监督检查</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w:t>
      </w:r>
      <w:r>
        <w:rPr>
          <w:rFonts w:hint="eastAsia" w:ascii="仿宋_GB2312" w:hAnsi="宋体" w:eastAsia="仿宋_GB2312"/>
          <w:b/>
          <w:sz w:val="32"/>
          <w:szCs w:val="30"/>
          <w:shd w:val="clear" w:color="auto" w:fill="FFFFFF"/>
          <w:lang w:eastAsia="zh-CN"/>
        </w:rPr>
        <w:t>二十九</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区国资委定期对企业国有资产评估工作进行监督检查，重点检查区属国有企业国有资产评估管理制度的建立、执行情况和评估管理人员配备情况。</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p>
    <w:p>
      <w:pPr>
        <w:adjustRightInd w:val="0"/>
        <w:snapToGrid w:val="0"/>
        <w:spacing w:beforeLines="100" w:afterLines="100" w:line="560" w:lineRule="exact"/>
        <w:jc w:val="center"/>
        <w:rPr>
          <w:rFonts w:ascii="宋体" w:hAnsi="宋体"/>
          <w:b/>
          <w:color w:val="000000"/>
          <w:sz w:val="32"/>
          <w:szCs w:val="30"/>
        </w:rPr>
      </w:pPr>
      <w:r>
        <w:rPr>
          <w:rFonts w:hint="eastAsia" w:ascii="宋体" w:hAnsi="宋体"/>
          <w:b/>
          <w:color w:val="000000"/>
          <w:sz w:val="32"/>
          <w:szCs w:val="30"/>
        </w:rPr>
        <w:t>第五章　罚则</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第三十条</w:t>
      </w:r>
      <w:r>
        <w:rPr>
          <w:rFonts w:hint="eastAsia" w:ascii="仿宋_GB2312" w:hAnsi="宋体" w:eastAsia="仿宋_GB2312"/>
          <w:sz w:val="32"/>
          <w:szCs w:val="30"/>
          <w:shd w:val="clear" w:color="auto" w:fill="FFFFFF"/>
        </w:rPr>
        <w:t xml:space="preserve">  企业违反本办法，有下列情形之一的，由区国资委通报批评并责令改正，必要时可依法向人民法院提起诉讼，确认其相应的经济行为无效：</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（一）应当进行资产评估而未进行评估；</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（二）聘请不符合相应资质条件的资产评估机构从事国有资产评估活动；</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（三）向资产评估机构提供虚假情况和资料，或者与资产评估机构串通作弊导致评估结果失实的；</w:t>
      </w:r>
    </w:p>
    <w:p>
      <w:pPr>
        <w:pStyle w:val="8"/>
        <w:widowControl w:val="0"/>
        <w:adjustRightInd w:val="0"/>
        <w:snapToGrid w:val="0"/>
        <w:spacing w:line="560" w:lineRule="exact"/>
        <w:ind w:firstLine="640" w:firstLineChars="200"/>
        <w:jc w:val="both"/>
        <w:rPr>
          <w:rFonts w:ascii="仿宋_GB2312" w:hAnsi="宋体" w:eastAsia="仿宋_GB2312"/>
          <w:sz w:val="32"/>
          <w:szCs w:val="30"/>
          <w:shd w:val="clear" w:color="auto" w:fill="FFFFFF"/>
        </w:rPr>
      </w:pPr>
      <w:r>
        <w:rPr>
          <w:rFonts w:hint="eastAsia" w:ascii="仿宋_GB2312" w:hAnsi="宋体" w:eastAsia="仿宋_GB2312"/>
          <w:sz w:val="32"/>
          <w:szCs w:val="30"/>
          <w:shd w:val="clear" w:color="auto" w:fill="FFFFFF"/>
        </w:rPr>
        <w:t>（四）应当办理核准、备案而未办理。</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一</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企业在国有资产评估中发生违法违规行为或者不正当使用评估报告的，其区属国有企业应对负有直接责任的主管人员和其他直接责任人员，依法给予处分；涉嫌犯罪的，依法移送司法机关处理。</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二</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受托资产评估机构在资产评估过程中违规执业的，由区国资委将有关情况通报其行业主管部门，建议给予相应处罚。区国资委按照相关规定，动态管理评估机构备选库。</w:t>
      </w:r>
    </w:p>
    <w:p>
      <w:pPr>
        <w:pStyle w:val="8"/>
        <w:widowControl w:val="0"/>
        <w:adjustRightInd w:val="0"/>
        <w:snapToGrid w:val="0"/>
        <w:spacing w:line="560" w:lineRule="exact"/>
        <w:ind w:firstLine="643" w:firstLineChars="200"/>
        <w:jc w:val="both"/>
        <w:rPr>
          <w:rFonts w:ascii="仿宋_GB2312" w:hAnsi="宋体" w:eastAsia="仿宋_GB2312"/>
          <w:b/>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三</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有关资产评估机构对资产评估项目抽查工作不予配合的，区国资委可以要求企业不得再委托该资产评估机构及其当事人进行国有资产评估业务，</w:t>
      </w:r>
      <w:r>
        <w:rPr>
          <w:rFonts w:hint="eastAsia" w:ascii="仿宋_GB2312" w:hAnsi="宋体" w:eastAsia="仿宋_GB2312"/>
          <w:sz w:val="32"/>
          <w:szCs w:val="30"/>
          <w:shd w:val="clear" w:color="auto" w:fill="FFFFFF"/>
          <w:lang w:eastAsia="zh-CN"/>
        </w:rPr>
        <w:t>对</w:t>
      </w:r>
      <w:r>
        <w:rPr>
          <w:rFonts w:hint="eastAsia" w:ascii="仿宋_GB2312" w:hAnsi="仿宋_GB2312" w:eastAsia="仿宋_GB2312" w:cs="仿宋_GB2312"/>
          <w:sz w:val="32"/>
          <w:szCs w:val="32"/>
        </w:rPr>
        <w:t>特别严重</w:t>
      </w:r>
      <w:r>
        <w:rPr>
          <w:rFonts w:hint="eastAsia" w:ascii="仿宋_GB2312" w:hAnsi="仿宋_GB2312" w:eastAsia="仿宋_GB2312" w:cs="仿宋_GB2312"/>
          <w:sz w:val="32"/>
          <w:szCs w:val="32"/>
          <w:lang w:eastAsia="zh-CN"/>
        </w:rPr>
        <w:t>者可</w:t>
      </w:r>
      <w:r>
        <w:rPr>
          <w:rFonts w:hint="eastAsia" w:ascii="仿宋_GB2312" w:hAnsi="宋体" w:eastAsia="仿宋_GB2312"/>
          <w:sz w:val="32"/>
          <w:szCs w:val="30"/>
          <w:shd w:val="clear" w:color="auto" w:fill="FFFFFF"/>
        </w:rPr>
        <w:t>剔除出机构库</w:t>
      </w:r>
      <w:r>
        <w:rPr>
          <w:rFonts w:hint="eastAsia" w:ascii="仿宋_GB2312" w:hAnsi="宋体" w:eastAsia="仿宋_GB2312"/>
          <w:b/>
          <w:sz w:val="32"/>
          <w:szCs w:val="30"/>
          <w:shd w:val="clear" w:color="auto" w:fill="FFFFFF"/>
        </w:rPr>
        <w:t>。</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四</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区国资委工作人员违反本规定，造成国有资产流失的，依法给予处分；涉嫌犯罪的，依法移送司法机关处理。</w:t>
      </w:r>
    </w:p>
    <w:p>
      <w:pPr>
        <w:adjustRightInd w:val="0"/>
        <w:snapToGrid w:val="0"/>
        <w:spacing w:beforeLines="100" w:afterLines="100" w:line="560" w:lineRule="exact"/>
        <w:jc w:val="center"/>
        <w:rPr>
          <w:rFonts w:ascii="宋体" w:hAnsi="宋体"/>
          <w:b/>
          <w:color w:val="000000"/>
          <w:sz w:val="32"/>
          <w:szCs w:val="30"/>
        </w:rPr>
      </w:pPr>
      <w:r>
        <w:rPr>
          <w:rFonts w:hint="eastAsia" w:ascii="宋体" w:hAnsi="宋体"/>
          <w:b/>
          <w:color w:val="000000"/>
          <w:sz w:val="32"/>
          <w:szCs w:val="30"/>
        </w:rPr>
        <w:t>第六章  附则</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五</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境外国有资产评估，遵照相关法规执行。</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六</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各功能区国资监管机构可以根据本办法，制定相关工作规范，并报区国资委备案。</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七</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本区原有关资产评估的规定与本办法不一致的，以本办法规定为准。</w:t>
      </w:r>
    </w:p>
    <w:p>
      <w:pPr>
        <w:pStyle w:val="8"/>
        <w:widowControl w:val="0"/>
        <w:adjustRightInd w:val="0"/>
        <w:snapToGrid w:val="0"/>
        <w:spacing w:line="560" w:lineRule="exact"/>
        <w:ind w:firstLine="643" w:firstLineChars="200"/>
        <w:jc w:val="both"/>
        <w:rPr>
          <w:rFonts w:ascii="仿宋_GB2312" w:hAnsi="宋体" w:eastAsia="仿宋_GB2312"/>
          <w:sz w:val="32"/>
          <w:szCs w:val="30"/>
          <w:shd w:val="clear" w:color="auto" w:fill="FFFFFF"/>
        </w:rPr>
      </w:pPr>
      <w:r>
        <w:rPr>
          <w:rFonts w:hint="eastAsia" w:ascii="仿宋_GB2312" w:hAnsi="宋体" w:eastAsia="仿宋_GB2312"/>
          <w:b/>
          <w:sz w:val="32"/>
          <w:szCs w:val="30"/>
          <w:shd w:val="clear" w:color="auto" w:fill="FFFFFF"/>
        </w:rPr>
        <w:t>第三十</w:t>
      </w:r>
      <w:r>
        <w:rPr>
          <w:rFonts w:hint="eastAsia" w:ascii="仿宋_GB2312" w:hAnsi="宋体" w:eastAsia="仿宋_GB2312"/>
          <w:b/>
          <w:sz w:val="32"/>
          <w:szCs w:val="30"/>
          <w:shd w:val="clear" w:color="auto" w:fill="FFFFFF"/>
          <w:lang w:eastAsia="zh-CN"/>
        </w:rPr>
        <w:t>八</w:t>
      </w:r>
      <w:r>
        <w:rPr>
          <w:rFonts w:hint="eastAsia" w:ascii="仿宋_GB2312" w:hAnsi="宋体" w:eastAsia="仿宋_GB2312"/>
          <w:b/>
          <w:sz w:val="32"/>
          <w:szCs w:val="30"/>
          <w:shd w:val="clear" w:color="auto" w:fill="FFFFFF"/>
        </w:rPr>
        <w:t>条</w:t>
      </w:r>
      <w:r>
        <w:rPr>
          <w:rFonts w:hint="eastAsia" w:ascii="仿宋_GB2312" w:hAnsi="宋体" w:eastAsia="仿宋_GB2312"/>
          <w:sz w:val="32"/>
          <w:szCs w:val="30"/>
          <w:shd w:val="clear" w:color="auto" w:fill="FFFFFF"/>
        </w:rPr>
        <w:t xml:space="preserve"> 本办法自印发之日起施行。</w:t>
      </w:r>
    </w:p>
    <w:p>
      <w:pPr>
        <w:pStyle w:val="8"/>
        <w:widowControl w:val="0"/>
        <w:adjustRightInd w:val="0"/>
        <w:snapToGrid w:val="0"/>
        <w:spacing w:line="560" w:lineRule="exact"/>
        <w:ind w:firstLine="600" w:firstLineChars="200"/>
        <w:jc w:val="both"/>
        <w:rPr>
          <w:rFonts w:ascii="仿宋_GB2312" w:hAnsi="宋体" w:eastAsia="仿宋_GB2312"/>
          <w:sz w:val="30"/>
          <w:szCs w:val="30"/>
          <w:shd w:val="clear" w:color="auto" w:fill="FFFFFF"/>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beforeLines="100" w:afterLines="100" w:line="540" w:lineRule="exact"/>
        <w:ind w:firstLine="699"/>
        <w:jc w:val="both"/>
        <w:rPr>
          <w:rFonts w:ascii="宋体" w:hAnsi="宋体"/>
          <w:b/>
          <w:color w:val="000000"/>
          <w:spacing w:val="-6"/>
          <w:sz w:val="36"/>
          <w:szCs w:val="36"/>
        </w:rPr>
      </w:pPr>
    </w:p>
    <w:p>
      <w:pPr>
        <w:rPr>
          <w:rFonts w:ascii="仿宋_GB2312" w:eastAsia="仿宋_GB2312"/>
          <w:sz w:val="32"/>
          <w:szCs w:val="32"/>
        </w:rPr>
      </w:pPr>
      <w:r>
        <w:rPr>
          <w:rFonts w:hint="eastAsia" w:ascii="黑体" w:hAnsi="黑体" w:eastAsia="黑体" w:cs="宋体"/>
          <w:sz w:val="32"/>
          <w:szCs w:val="21"/>
        </w:rPr>
        <w:t>附件1</w:t>
      </w:r>
    </w:p>
    <w:p>
      <w:pPr>
        <w:ind w:firstLine="480"/>
      </w:pPr>
    </w:p>
    <w:p>
      <w:pPr>
        <w:wordWrap w:val="0"/>
        <w:ind w:firstLine="640"/>
        <w:jc w:val="right"/>
        <w:rPr>
          <w:sz w:val="32"/>
          <w:szCs w:val="32"/>
          <w:u w:val="single"/>
        </w:rPr>
      </w:pPr>
      <w:r>
        <w:rPr>
          <w:rFonts w:hint="eastAsia"/>
          <w:sz w:val="32"/>
          <w:szCs w:val="32"/>
        </w:rPr>
        <w:t>备案编号：</w:t>
      </w:r>
      <w:r>
        <w:rPr>
          <w:rFonts w:hint="eastAsia"/>
          <w:sz w:val="32"/>
          <w:szCs w:val="32"/>
          <w:u w:val="single"/>
        </w:rPr>
        <w:t xml:space="preserve">            </w:t>
      </w:r>
    </w:p>
    <w:p>
      <w:pPr>
        <w:ind w:firstLine="640"/>
        <w:jc w:val="right"/>
        <w:rPr>
          <w:sz w:val="32"/>
          <w:szCs w:val="32"/>
          <w:u w:val="single"/>
        </w:rPr>
      </w:pPr>
    </w:p>
    <w:p>
      <w:pPr>
        <w:ind w:firstLine="640"/>
        <w:jc w:val="right"/>
        <w:rPr>
          <w:sz w:val="32"/>
          <w:szCs w:val="32"/>
          <w:u w:val="single"/>
        </w:rPr>
      </w:pPr>
    </w:p>
    <w:p>
      <w:pPr>
        <w:ind w:firstLine="640"/>
        <w:jc w:val="right"/>
        <w:rPr>
          <w:sz w:val="32"/>
          <w:szCs w:val="32"/>
          <w:u w:val="single"/>
        </w:rPr>
      </w:pPr>
    </w:p>
    <w:p>
      <w:pPr>
        <w:ind w:firstLine="640"/>
        <w:rPr>
          <w:sz w:val="32"/>
          <w:szCs w:val="32"/>
          <w:u w:val="single"/>
        </w:rPr>
      </w:pPr>
    </w:p>
    <w:p>
      <w:pPr>
        <w:jc w:val="center"/>
        <w:rPr>
          <w:b/>
          <w:spacing w:val="30"/>
          <w:sz w:val="60"/>
          <w:szCs w:val="60"/>
        </w:rPr>
      </w:pPr>
      <w:r>
        <w:rPr>
          <w:rFonts w:hint="eastAsia"/>
          <w:b/>
          <w:spacing w:val="30"/>
          <w:sz w:val="60"/>
          <w:szCs w:val="60"/>
        </w:rPr>
        <w:t>国有资产评估项目备案表</w:t>
      </w:r>
    </w:p>
    <w:p>
      <w:pPr>
        <w:ind w:firstLine="1325"/>
        <w:jc w:val="center"/>
        <w:rPr>
          <w:b/>
          <w:spacing w:val="30"/>
          <w:sz w:val="60"/>
          <w:szCs w:val="60"/>
        </w:rPr>
      </w:pPr>
    </w:p>
    <w:p>
      <w:pPr>
        <w:ind w:firstLine="1325"/>
        <w:jc w:val="center"/>
        <w:rPr>
          <w:b/>
          <w:spacing w:val="30"/>
          <w:sz w:val="60"/>
          <w:szCs w:val="60"/>
        </w:rPr>
      </w:pPr>
    </w:p>
    <w:p>
      <w:pPr>
        <w:ind w:firstLine="763"/>
        <w:rPr>
          <w:b/>
          <w:spacing w:val="30"/>
          <w:sz w:val="32"/>
          <w:szCs w:val="32"/>
        </w:rPr>
      </w:pPr>
    </w:p>
    <w:p>
      <w:pPr>
        <w:ind w:firstLine="1140" w:firstLineChars="300"/>
        <w:rPr>
          <w:spacing w:val="30"/>
          <w:sz w:val="32"/>
          <w:szCs w:val="32"/>
          <w:u w:val="single"/>
        </w:rPr>
      </w:pPr>
      <w:r>
        <w:rPr>
          <w:rFonts w:hint="eastAsia"/>
          <w:spacing w:val="30"/>
          <w:sz w:val="32"/>
          <w:szCs w:val="32"/>
        </w:rPr>
        <w:t>产权持有单位（盖章）：</w:t>
      </w:r>
      <w:r>
        <w:rPr>
          <w:rFonts w:hint="eastAsia"/>
          <w:spacing w:val="30"/>
          <w:sz w:val="32"/>
          <w:szCs w:val="32"/>
          <w:u w:val="single"/>
        </w:rPr>
        <w:t xml:space="preserve">               </w:t>
      </w:r>
    </w:p>
    <w:p>
      <w:pPr>
        <w:ind w:firstLine="1432" w:firstLineChars="377"/>
        <w:rPr>
          <w:spacing w:val="30"/>
          <w:sz w:val="32"/>
          <w:szCs w:val="32"/>
          <w:u w:val="single"/>
        </w:rPr>
      </w:pPr>
    </w:p>
    <w:p>
      <w:pPr>
        <w:ind w:firstLine="1260" w:firstLineChars="300"/>
        <w:rPr>
          <w:spacing w:val="30"/>
          <w:sz w:val="32"/>
          <w:szCs w:val="32"/>
          <w:u w:val="single"/>
        </w:rPr>
      </w:pPr>
      <w:r>
        <w:rPr>
          <w:rFonts w:hint="eastAsia"/>
          <w:spacing w:val="50"/>
          <w:sz w:val="32"/>
          <w:szCs w:val="32"/>
        </w:rPr>
        <w:t>法定代表人（签字）</w:t>
      </w:r>
      <w:r>
        <w:rPr>
          <w:rFonts w:hint="eastAsia"/>
          <w:spacing w:val="30"/>
          <w:sz w:val="32"/>
          <w:szCs w:val="32"/>
        </w:rPr>
        <w:t>：</w:t>
      </w:r>
      <w:r>
        <w:rPr>
          <w:rFonts w:hint="eastAsia"/>
          <w:spacing w:val="30"/>
          <w:sz w:val="32"/>
          <w:szCs w:val="32"/>
          <w:u w:val="single"/>
        </w:rPr>
        <w:t xml:space="preserve">               </w:t>
      </w:r>
    </w:p>
    <w:p>
      <w:pPr>
        <w:ind w:firstLine="1299" w:firstLineChars="342"/>
        <w:rPr>
          <w:spacing w:val="30"/>
          <w:sz w:val="32"/>
          <w:szCs w:val="32"/>
          <w:u w:val="single"/>
        </w:rPr>
      </w:pPr>
    </w:p>
    <w:p>
      <w:pPr>
        <w:ind w:firstLine="1100" w:firstLineChars="100"/>
        <w:rPr>
          <w:spacing w:val="30"/>
          <w:sz w:val="32"/>
          <w:szCs w:val="32"/>
          <w:u w:val="single"/>
        </w:rPr>
      </w:pPr>
      <w:r>
        <w:rPr>
          <w:rFonts w:hint="eastAsia"/>
          <w:spacing w:val="390"/>
          <w:sz w:val="32"/>
          <w:szCs w:val="32"/>
        </w:rPr>
        <w:t>填报日</w:t>
      </w:r>
      <w:r>
        <w:rPr>
          <w:rFonts w:hint="eastAsia"/>
          <w:sz w:val="32"/>
          <w:szCs w:val="32"/>
        </w:rPr>
        <w:t>期</w:t>
      </w:r>
      <w:r>
        <w:rPr>
          <w:rFonts w:hint="eastAsia"/>
          <w:spacing w:val="30"/>
          <w:sz w:val="32"/>
          <w:szCs w:val="32"/>
        </w:rPr>
        <w:t>：</w:t>
      </w:r>
      <w:r>
        <w:rPr>
          <w:rFonts w:hint="eastAsia"/>
          <w:spacing w:val="30"/>
          <w:sz w:val="32"/>
          <w:szCs w:val="32"/>
          <w:u w:val="single"/>
        </w:rPr>
        <w:t xml:space="preserve">               </w:t>
      </w:r>
    </w:p>
    <w:p>
      <w:pPr>
        <w:ind w:firstLine="482" w:firstLineChars="127"/>
        <w:rPr>
          <w:spacing w:val="30"/>
          <w:sz w:val="32"/>
          <w:szCs w:val="32"/>
          <w:u w:val="single"/>
        </w:rPr>
      </w:pPr>
    </w:p>
    <w:p>
      <w:pPr>
        <w:ind w:firstLine="482" w:firstLineChars="127"/>
        <w:rPr>
          <w:spacing w:val="30"/>
          <w:sz w:val="32"/>
          <w:szCs w:val="32"/>
          <w:u w:val="single"/>
        </w:rPr>
      </w:pPr>
    </w:p>
    <w:p>
      <w:pPr>
        <w:ind w:firstLine="682"/>
        <w:jc w:val="center"/>
        <w:rPr>
          <w:rFonts w:ascii="黑体" w:eastAsia="黑体"/>
          <w:b/>
          <w:spacing w:val="30"/>
          <w:sz w:val="28"/>
          <w:szCs w:val="28"/>
        </w:rPr>
      </w:pPr>
      <w:r>
        <w:rPr>
          <w:rFonts w:hint="eastAsia" w:ascii="黑体" w:eastAsia="黑体"/>
          <w:b/>
          <w:spacing w:val="30"/>
          <w:sz w:val="28"/>
          <w:szCs w:val="28"/>
        </w:rPr>
        <w:t>天津市人民政府国有资产监督管理委员会制</w:t>
      </w:r>
    </w:p>
    <w:p>
      <w:pPr>
        <w:spacing w:line="560" w:lineRule="exact"/>
        <w:ind w:firstLine="699"/>
        <w:jc w:val="center"/>
        <w:rPr>
          <w:rFonts w:hint="eastAsia" w:ascii="宋体" w:hAnsi="宋体"/>
          <w:b/>
          <w:color w:val="000000"/>
          <w:spacing w:val="-6"/>
          <w:sz w:val="36"/>
          <w:szCs w:val="36"/>
        </w:rPr>
      </w:pPr>
      <w:r>
        <w:rPr>
          <w:rFonts w:hint="eastAsia" w:ascii="宋体" w:hAnsi="宋体"/>
          <w:b/>
          <w:color w:val="000000"/>
          <w:spacing w:val="-6"/>
          <w:sz w:val="36"/>
          <w:szCs w:val="36"/>
        </w:rPr>
        <w:br w:type="page"/>
      </w:r>
    </w:p>
    <w:p>
      <w:pPr>
        <w:spacing w:line="560" w:lineRule="exact"/>
        <w:ind w:firstLine="699"/>
        <w:jc w:val="center"/>
        <w:rPr>
          <w:rFonts w:hint="eastAsia" w:ascii="宋体" w:hAnsi="宋体"/>
          <w:b/>
          <w:color w:val="000000"/>
          <w:spacing w:val="-6"/>
          <w:sz w:val="36"/>
          <w:szCs w:val="36"/>
        </w:rPr>
      </w:pPr>
    </w:p>
    <w:p>
      <w:pPr>
        <w:spacing w:line="560" w:lineRule="exact"/>
        <w:ind w:firstLine="699"/>
        <w:jc w:val="center"/>
        <w:rPr>
          <w:rFonts w:hint="eastAsia" w:ascii="方正小标宋简体" w:hAnsi="方正小标宋简体" w:eastAsia="方正小标宋简体"/>
          <w:spacing w:val="30"/>
          <w:sz w:val="44"/>
          <w:szCs w:val="44"/>
        </w:rPr>
      </w:pPr>
      <w:r>
        <w:rPr>
          <w:rFonts w:hint="eastAsia" w:ascii="方正小标宋简体" w:hAnsi="方正小标宋简体" w:eastAsia="方正小标宋简体"/>
          <w:spacing w:val="30"/>
          <w:sz w:val="44"/>
          <w:szCs w:val="44"/>
        </w:rPr>
        <w:t>资产评估项目基本情况</w:t>
      </w:r>
    </w:p>
    <w:p>
      <w:pPr>
        <w:spacing w:line="560" w:lineRule="exact"/>
        <w:ind w:firstLine="699"/>
        <w:jc w:val="center"/>
        <w:rPr>
          <w:rFonts w:hint="eastAsia" w:ascii="方正小标宋简体" w:hAnsi="方正小标宋简体" w:eastAsia="方正小标宋简体"/>
          <w:spacing w:val="30"/>
          <w:sz w:val="44"/>
          <w:szCs w:val="44"/>
        </w:rPr>
      </w:pPr>
    </w:p>
    <w:tbl>
      <w:tblPr>
        <w:tblStyle w:val="7"/>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40"/>
        <w:gridCol w:w="540"/>
        <w:gridCol w:w="1080"/>
        <w:gridCol w:w="540"/>
        <w:gridCol w:w="1080"/>
        <w:gridCol w:w="197"/>
        <w:gridCol w:w="523"/>
        <w:gridCol w:w="319"/>
        <w:gridCol w:w="761"/>
        <w:gridCol w:w="1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520" w:type="dxa"/>
            <w:vAlign w:val="center"/>
          </w:tcPr>
          <w:p>
            <w:pPr>
              <w:spacing w:line="340" w:lineRule="exact"/>
              <w:ind w:firstLine="174" w:firstLineChars="83"/>
              <w:jc w:val="center"/>
              <w:rPr>
                <w:rFonts w:ascii="宋体" w:hAnsi="宋体"/>
              </w:rPr>
            </w:pPr>
            <w:r>
              <w:rPr>
                <w:rFonts w:hint="eastAsia" w:ascii="宋体" w:hAnsi="宋体"/>
              </w:rPr>
              <w:t>评　估　对　象</w:t>
            </w:r>
          </w:p>
        </w:tc>
        <w:tc>
          <w:tcPr>
            <w:tcW w:w="7020" w:type="dxa"/>
            <w:gridSpan w:val="11"/>
            <w:vAlign w:val="center"/>
          </w:tcPr>
          <w:p>
            <w:pPr>
              <w:spacing w:line="34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520" w:type="dxa"/>
            <w:vAlign w:val="center"/>
          </w:tcPr>
          <w:p>
            <w:pPr>
              <w:spacing w:line="340" w:lineRule="exact"/>
              <w:ind w:firstLine="174" w:firstLineChars="83"/>
              <w:jc w:val="center"/>
              <w:rPr>
                <w:rFonts w:ascii="宋体" w:hAnsi="宋体"/>
              </w:rPr>
            </w:pPr>
            <w:r>
              <w:rPr>
                <w:rFonts w:hint="eastAsia" w:ascii="宋体" w:hAnsi="宋体"/>
              </w:rPr>
              <w:t>产权持有单位</w:t>
            </w:r>
          </w:p>
        </w:tc>
        <w:tc>
          <w:tcPr>
            <w:tcW w:w="3977" w:type="dxa"/>
            <w:gridSpan w:val="6"/>
            <w:vAlign w:val="center"/>
          </w:tcPr>
          <w:p>
            <w:pPr>
              <w:spacing w:line="340" w:lineRule="exact"/>
              <w:ind w:firstLine="480"/>
              <w:jc w:val="center"/>
              <w:rPr>
                <w:rFonts w:ascii="宋体" w:hAnsi="宋体"/>
              </w:rPr>
            </w:pPr>
          </w:p>
        </w:tc>
        <w:tc>
          <w:tcPr>
            <w:tcW w:w="1783" w:type="dxa"/>
            <w:gridSpan w:val="4"/>
            <w:vAlign w:val="center"/>
          </w:tcPr>
          <w:p>
            <w:pPr>
              <w:spacing w:line="340" w:lineRule="exact"/>
              <w:jc w:val="center"/>
              <w:rPr>
                <w:rFonts w:ascii="宋体" w:hAnsi="宋体"/>
              </w:rPr>
            </w:pPr>
            <w:r>
              <w:rPr>
                <w:rFonts w:hint="eastAsia" w:ascii="宋体" w:hAnsi="宋体"/>
              </w:rPr>
              <w:t>企业管理级次</w:t>
            </w:r>
          </w:p>
        </w:tc>
        <w:tc>
          <w:tcPr>
            <w:tcW w:w="1260" w:type="dxa"/>
            <w:vAlign w:val="center"/>
          </w:tcPr>
          <w:p>
            <w:pPr>
              <w:spacing w:line="34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520" w:type="dxa"/>
            <w:vAlign w:val="center"/>
          </w:tcPr>
          <w:p>
            <w:pPr>
              <w:spacing w:line="340" w:lineRule="exact"/>
              <w:jc w:val="center"/>
              <w:rPr>
                <w:rFonts w:ascii="宋体" w:hAnsi="宋体"/>
              </w:rPr>
            </w:pPr>
            <w:r>
              <w:rPr>
                <w:rFonts w:hint="eastAsia" w:ascii="宋体" w:hAnsi="宋体"/>
              </w:rPr>
              <w:t>资产评估委托方</w:t>
            </w:r>
          </w:p>
        </w:tc>
        <w:tc>
          <w:tcPr>
            <w:tcW w:w="7020" w:type="dxa"/>
            <w:gridSpan w:val="11"/>
            <w:vAlign w:val="center"/>
          </w:tcPr>
          <w:p>
            <w:pPr>
              <w:spacing w:line="34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520" w:type="dxa"/>
            <w:vAlign w:val="center"/>
          </w:tcPr>
          <w:p>
            <w:pPr>
              <w:spacing w:line="340" w:lineRule="exact"/>
              <w:jc w:val="center"/>
              <w:rPr>
                <w:rFonts w:ascii="宋体" w:hAnsi="宋体"/>
              </w:rPr>
            </w:pPr>
            <w:r>
              <w:rPr>
                <w:rFonts w:hint="eastAsia" w:ascii="宋体" w:hAnsi="宋体"/>
              </w:rPr>
              <w:t>所出资企业（有关部门）</w:t>
            </w:r>
          </w:p>
        </w:tc>
        <w:tc>
          <w:tcPr>
            <w:tcW w:w="7020" w:type="dxa"/>
            <w:gridSpan w:val="11"/>
            <w:vAlign w:val="center"/>
          </w:tcPr>
          <w:p>
            <w:pPr>
              <w:spacing w:line="34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520" w:type="dxa"/>
            <w:vAlign w:val="center"/>
          </w:tcPr>
          <w:p>
            <w:pPr>
              <w:spacing w:line="340" w:lineRule="exact"/>
              <w:jc w:val="center"/>
              <w:rPr>
                <w:rFonts w:ascii="宋体" w:hAnsi="宋体"/>
              </w:rPr>
            </w:pPr>
            <w:r>
              <w:rPr>
                <w:rFonts w:hint="eastAsia" w:ascii="宋体" w:hAnsi="宋体"/>
              </w:rPr>
              <w:t>经济行为类型</w:t>
            </w:r>
          </w:p>
        </w:tc>
        <w:tc>
          <w:tcPr>
            <w:tcW w:w="7020" w:type="dxa"/>
            <w:gridSpan w:val="11"/>
            <w:vAlign w:val="center"/>
          </w:tcPr>
          <w:p>
            <w:pPr>
              <w:pStyle w:val="5"/>
              <w:widowControl w:val="0"/>
              <w:spacing w:line="340" w:lineRule="exact"/>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520" w:type="dxa"/>
            <w:vAlign w:val="center"/>
          </w:tcPr>
          <w:p>
            <w:pPr>
              <w:spacing w:line="340" w:lineRule="exact"/>
              <w:jc w:val="center"/>
              <w:rPr>
                <w:rFonts w:ascii="宋体" w:hAnsi="宋体"/>
              </w:rPr>
            </w:pPr>
            <w:r>
              <w:rPr>
                <w:rFonts w:hint="eastAsia" w:ascii="宋体" w:hAnsi="宋体"/>
              </w:rPr>
              <w:t>评估报告书编号</w:t>
            </w:r>
          </w:p>
        </w:tc>
        <w:tc>
          <w:tcPr>
            <w:tcW w:w="2700" w:type="dxa"/>
            <w:gridSpan w:val="4"/>
            <w:vAlign w:val="center"/>
          </w:tcPr>
          <w:p>
            <w:pPr>
              <w:spacing w:line="340" w:lineRule="exact"/>
              <w:ind w:firstLine="480"/>
              <w:rPr>
                <w:rFonts w:ascii="宋体" w:hAnsi="宋体"/>
              </w:rPr>
            </w:pPr>
          </w:p>
        </w:tc>
        <w:tc>
          <w:tcPr>
            <w:tcW w:w="1800" w:type="dxa"/>
            <w:gridSpan w:val="3"/>
            <w:vAlign w:val="center"/>
          </w:tcPr>
          <w:p>
            <w:pPr>
              <w:spacing w:line="340" w:lineRule="exact"/>
              <w:jc w:val="center"/>
              <w:rPr>
                <w:rFonts w:ascii="宋体" w:hAnsi="宋体"/>
              </w:rPr>
            </w:pPr>
            <w:r>
              <w:rPr>
                <w:rFonts w:hint="eastAsia" w:ascii="宋体" w:hAnsi="宋体"/>
              </w:rPr>
              <w:t>主要评估方法</w:t>
            </w:r>
          </w:p>
        </w:tc>
        <w:tc>
          <w:tcPr>
            <w:tcW w:w="2520" w:type="dxa"/>
            <w:gridSpan w:val="4"/>
            <w:vAlign w:val="center"/>
          </w:tcPr>
          <w:p>
            <w:pPr>
              <w:spacing w:line="34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2520" w:type="dxa"/>
            <w:vAlign w:val="center"/>
          </w:tcPr>
          <w:p>
            <w:pPr>
              <w:spacing w:line="340" w:lineRule="exact"/>
              <w:jc w:val="center"/>
              <w:rPr>
                <w:rFonts w:ascii="宋体" w:hAnsi="宋体"/>
              </w:rPr>
            </w:pPr>
            <w:r>
              <w:rPr>
                <w:rFonts w:hint="eastAsia" w:ascii="宋体" w:hAnsi="宋体"/>
              </w:rPr>
              <w:t>评估机构名称</w:t>
            </w:r>
          </w:p>
        </w:tc>
        <w:tc>
          <w:tcPr>
            <w:tcW w:w="2700" w:type="dxa"/>
            <w:gridSpan w:val="4"/>
            <w:vAlign w:val="center"/>
          </w:tcPr>
          <w:p>
            <w:pPr>
              <w:spacing w:line="340" w:lineRule="exact"/>
              <w:ind w:firstLine="480"/>
              <w:rPr>
                <w:rFonts w:ascii="宋体" w:hAnsi="宋体"/>
              </w:rPr>
            </w:pPr>
          </w:p>
        </w:tc>
        <w:tc>
          <w:tcPr>
            <w:tcW w:w="1800" w:type="dxa"/>
            <w:gridSpan w:val="3"/>
            <w:vAlign w:val="center"/>
          </w:tcPr>
          <w:p>
            <w:pPr>
              <w:spacing w:line="340" w:lineRule="exact"/>
              <w:jc w:val="center"/>
              <w:rPr>
                <w:rFonts w:ascii="宋体" w:hAnsi="宋体"/>
              </w:rPr>
            </w:pPr>
            <w:r>
              <w:rPr>
                <w:rFonts w:hint="eastAsia" w:ascii="宋体" w:hAnsi="宋体"/>
              </w:rPr>
              <w:t>资质证书编号</w:t>
            </w:r>
          </w:p>
        </w:tc>
        <w:tc>
          <w:tcPr>
            <w:tcW w:w="2520" w:type="dxa"/>
            <w:gridSpan w:val="4"/>
            <w:vAlign w:val="center"/>
          </w:tcPr>
          <w:p>
            <w:pPr>
              <w:spacing w:line="34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2520" w:type="dxa"/>
            <w:vAlign w:val="center"/>
          </w:tcPr>
          <w:p>
            <w:pPr>
              <w:spacing w:line="340" w:lineRule="exact"/>
              <w:jc w:val="center"/>
              <w:rPr>
                <w:rFonts w:ascii="宋体" w:hAnsi="宋体"/>
              </w:rPr>
            </w:pPr>
            <w:r>
              <w:rPr>
                <w:rFonts w:hint="eastAsia" w:ascii="宋体" w:hAnsi="宋体"/>
              </w:rPr>
              <w:t>注册评估师姓名</w:t>
            </w:r>
          </w:p>
        </w:tc>
        <w:tc>
          <w:tcPr>
            <w:tcW w:w="1080" w:type="dxa"/>
            <w:gridSpan w:val="2"/>
            <w:vAlign w:val="center"/>
          </w:tcPr>
          <w:p>
            <w:pPr>
              <w:spacing w:line="340" w:lineRule="exact"/>
              <w:ind w:firstLine="480"/>
              <w:rPr>
                <w:rFonts w:ascii="宋体" w:hAnsi="宋体"/>
              </w:rPr>
            </w:pPr>
          </w:p>
        </w:tc>
        <w:tc>
          <w:tcPr>
            <w:tcW w:w="1620" w:type="dxa"/>
            <w:gridSpan w:val="2"/>
            <w:vAlign w:val="center"/>
          </w:tcPr>
          <w:p>
            <w:pPr>
              <w:spacing w:line="340" w:lineRule="exact"/>
              <w:ind w:firstLine="480"/>
              <w:rPr>
                <w:rFonts w:ascii="宋体" w:hAnsi="宋体"/>
              </w:rPr>
            </w:pPr>
          </w:p>
        </w:tc>
        <w:tc>
          <w:tcPr>
            <w:tcW w:w="1800" w:type="dxa"/>
            <w:gridSpan w:val="3"/>
            <w:vAlign w:val="center"/>
          </w:tcPr>
          <w:p>
            <w:pPr>
              <w:spacing w:line="340" w:lineRule="exact"/>
              <w:rPr>
                <w:rFonts w:ascii="宋体" w:hAnsi="宋体"/>
              </w:rPr>
            </w:pPr>
            <w:r>
              <w:rPr>
                <w:rFonts w:hint="eastAsia" w:ascii="宋体" w:hAnsi="宋体"/>
              </w:rPr>
              <w:t>注册评估师编号</w:t>
            </w:r>
          </w:p>
        </w:tc>
        <w:tc>
          <w:tcPr>
            <w:tcW w:w="1080" w:type="dxa"/>
            <w:gridSpan w:val="2"/>
            <w:vAlign w:val="center"/>
          </w:tcPr>
          <w:p>
            <w:pPr>
              <w:spacing w:line="340" w:lineRule="exact"/>
              <w:ind w:firstLine="480"/>
              <w:rPr>
                <w:rFonts w:ascii="宋体" w:hAnsi="宋体"/>
              </w:rPr>
            </w:pPr>
          </w:p>
        </w:tc>
        <w:tc>
          <w:tcPr>
            <w:tcW w:w="1440" w:type="dxa"/>
            <w:gridSpan w:val="2"/>
            <w:vAlign w:val="center"/>
          </w:tcPr>
          <w:p>
            <w:pPr>
              <w:spacing w:line="34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520" w:type="dxa"/>
            <w:vAlign w:val="center"/>
          </w:tcPr>
          <w:p>
            <w:pPr>
              <w:spacing w:line="340" w:lineRule="exact"/>
              <w:jc w:val="center"/>
              <w:rPr>
                <w:rFonts w:ascii="宋体" w:hAnsi="宋体"/>
              </w:rPr>
            </w:pPr>
            <w:r>
              <w:rPr>
                <w:rFonts w:hint="eastAsia" w:ascii="宋体" w:hAnsi="宋体"/>
              </w:rPr>
              <w:t>产权持有单位</w:t>
            </w:r>
          </w:p>
          <w:p>
            <w:pPr>
              <w:spacing w:line="340" w:lineRule="exact"/>
              <w:jc w:val="center"/>
              <w:rPr>
                <w:rFonts w:ascii="宋体" w:hAnsi="宋体"/>
              </w:rPr>
            </w:pPr>
            <w:r>
              <w:rPr>
                <w:rFonts w:hint="eastAsia" w:ascii="宋体" w:hAnsi="宋体"/>
              </w:rPr>
              <w:t>联系人</w:t>
            </w:r>
          </w:p>
        </w:tc>
        <w:tc>
          <w:tcPr>
            <w:tcW w:w="1080" w:type="dxa"/>
            <w:gridSpan w:val="2"/>
            <w:vAlign w:val="center"/>
          </w:tcPr>
          <w:p>
            <w:pPr>
              <w:spacing w:line="340" w:lineRule="exact"/>
              <w:ind w:firstLine="480"/>
              <w:rPr>
                <w:rFonts w:ascii="宋体" w:hAnsi="宋体"/>
              </w:rPr>
            </w:pPr>
          </w:p>
        </w:tc>
        <w:tc>
          <w:tcPr>
            <w:tcW w:w="1080" w:type="dxa"/>
            <w:vAlign w:val="center"/>
          </w:tcPr>
          <w:p>
            <w:pPr>
              <w:spacing w:line="340" w:lineRule="exact"/>
              <w:jc w:val="center"/>
              <w:rPr>
                <w:rFonts w:ascii="宋体" w:hAnsi="宋体"/>
              </w:rPr>
            </w:pPr>
            <w:r>
              <w:rPr>
                <w:rFonts w:hint="eastAsia" w:ascii="宋体" w:hAnsi="宋体"/>
              </w:rPr>
              <w:t>电  话</w:t>
            </w:r>
          </w:p>
        </w:tc>
        <w:tc>
          <w:tcPr>
            <w:tcW w:w="1620" w:type="dxa"/>
            <w:gridSpan w:val="2"/>
            <w:vAlign w:val="center"/>
          </w:tcPr>
          <w:p>
            <w:pPr>
              <w:spacing w:line="340" w:lineRule="exact"/>
              <w:ind w:firstLine="480"/>
              <w:jc w:val="center"/>
              <w:rPr>
                <w:rFonts w:ascii="宋体" w:hAnsi="宋体"/>
              </w:rPr>
            </w:pPr>
          </w:p>
        </w:tc>
        <w:tc>
          <w:tcPr>
            <w:tcW w:w="1039" w:type="dxa"/>
            <w:gridSpan w:val="3"/>
            <w:vAlign w:val="center"/>
          </w:tcPr>
          <w:p>
            <w:pPr>
              <w:spacing w:line="340" w:lineRule="exact"/>
              <w:jc w:val="center"/>
              <w:rPr>
                <w:rFonts w:ascii="宋体" w:hAnsi="宋体"/>
              </w:rPr>
            </w:pPr>
            <w:r>
              <w:rPr>
                <w:rFonts w:hint="eastAsia" w:ascii="宋体" w:hAnsi="宋体"/>
              </w:rPr>
              <w:t>通  讯</w:t>
            </w:r>
          </w:p>
          <w:p>
            <w:pPr>
              <w:spacing w:line="340" w:lineRule="exact"/>
              <w:jc w:val="center"/>
              <w:rPr>
                <w:rFonts w:ascii="宋体" w:hAnsi="宋体"/>
              </w:rPr>
            </w:pPr>
            <w:r>
              <w:rPr>
                <w:rFonts w:hint="eastAsia" w:ascii="宋体" w:hAnsi="宋体"/>
              </w:rPr>
              <w:t>地  址</w:t>
            </w:r>
          </w:p>
        </w:tc>
        <w:tc>
          <w:tcPr>
            <w:tcW w:w="2201" w:type="dxa"/>
            <w:gridSpan w:val="3"/>
            <w:vAlign w:val="center"/>
          </w:tcPr>
          <w:p>
            <w:pPr>
              <w:spacing w:line="34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520" w:type="dxa"/>
            <w:vAlign w:val="center"/>
          </w:tcPr>
          <w:p>
            <w:pPr>
              <w:spacing w:line="340" w:lineRule="exact"/>
              <w:jc w:val="center"/>
              <w:rPr>
                <w:rFonts w:ascii="宋体" w:hAnsi="宋体"/>
              </w:rPr>
            </w:pPr>
            <w:r>
              <w:rPr>
                <w:rFonts w:hint="eastAsia" w:ascii="宋体" w:hAnsi="宋体"/>
              </w:rPr>
              <w:t>所出资企业(有关部门)联系人</w:t>
            </w:r>
          </w:p>
        </w:tc>
        <w:tc>
          <w:tcPr>
            <w:tcW w:w="1080" w:type="dxa"/>
            <w:gridSpan w:val="2"/>
            <w:vAlign w:val="center"/>
          </w:tcPr>
          <w:p>
            <w:pPr>
              <w:spacing w:line="340" w:lineRule="exact"/>
              <w:ind w:firstLine="480"/>
              <w:rPr>
                <w:rFonts w:ascii="宋体" w:hAnsi="宋体"/>
              </w:rPr>
            </w:pPr>
          </w:p>
        </w:tc>
        <w:tc>
          <w:tcPr>
            <w:tcW w:w="1080" w:type="dxa"/>
            <w:vAlign w:val="center"/>
          </w:tcPr>
          <w:p>
            <w:pPr>
              <w:spacing w:line="340" w:lineRule="exact"/>
              <w:jc w:val="center"/>
              <w:rPr>
                <w:rFonts w:ascii="宋体" w:hAnsi="宋体"/>
              </w:rPr>
            </w:pPr>
            <w:r>
              <w:rPr>
                <w:rFonts w:hint="eastAsia" w:ascii="宋体" w:hAnsi="宋体"/>
              </w:rPr>
              <w:t>电  话</w:t>
            </w:r>
          </w:p>
        </w:tc>
        <w:tc>
          <w:tcPr>
            <w:tcW w:w="1620" w:type="dxa"/>
            <w:gridSpan w:val="2"/>
            <w:vAlign w:val="center"/>
          </w:tcPr>
          <w:p>
            <w:pPr>
              <w:spacing w:line="340" w:lineRule="exact"/>
              <w:ind w:firstLine="480"/>
              <w:jc w:val="center"/>
              <w:rPr>
                <w:rFonts w:ascii="宋体" w:hAnsi="宋体"/>
              </w:rPr>
            </w:pPr>
          </w:p>
        </w:tc>
        <w:tc>
          <w:tcPr>
            <w:tcW w:w="1039" w:type="dxa"/>
            <w:gridSpan w:val="3"/>
            <w:vAlign w:val="center"/>
          </w:tcPr>
          <w:p>
            <w:pPr>
              <w:spacing w:line="340" w:lineRule="exact"/>
              <w:jc w:val="center"/>
              <w:rPr>
                <w:rFonts w:ascii="宋体" w:hAnsi="宋体"/>
              </w:rPr>
            </w:pPr>
            <w:r>
              <w:rPr>
                <w:rFonts w:hint="eastAsia" w:ascii="宋体" w:hAnsi="宋体"/>
              </w:rPr>
              <w:t>通  讯</w:t>
            </w:r>
          </w:p>
          <w:p>
            <w:pPr>
              <w:spacing w:line="340" w:lineRule="exact"/>
              <w:jc w:val="center"/>
              <w:rPr>
                <w:rFonts w:ascii="宋体" w:hAnsi="宋体"/>
              </w:rPr>
            </w:pPr>
            <w:r>
              <w:rPr>
                <w:rFonts w:hint="eastAsia" w:ascii="宋体" w:hAnsi="宋体"/>
              </w:rPr>
              <w:t>地  址</w:t>
            </w:r>
          </w:p>
        </w:tc>
        <w:tc>
          <w:tcPr>
            <w:tcW w:w="2201" w:type="dxa"/>
            <w:gridSpan w:val="3"/>
            <w:vAlign w:val="center"/>
          </w:tcPr>
          <w:p>
            <w:pPr>
              <w:spacing w:line="34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8" w:hRule="atLeast"/>
          <w:jc w:val="center"/>
        </w:trPr>
        <w:tc>
          <w:tcPr>
            <w:tcW w:w="3060" w:type="dxa"/>
            <w:gridSpan w:val="2"/>
            <w:vAlign w:val="center"/>
          </w:tcPr>
          <w:p>
            <w:pPr>
              <w:spacing w:line="340" w:lineRule="exact"/>
              <w:ind w:firstLine="480"/>
              <w:rPr>
                <w:rFonts w:ascii="宋体" w:hAnsi="宋体"/>
              </w:rPr>
            </w:pPr>
            <w:r>
              <w:rPr>
                <w:rFonts w:hint="eastAsia" w:ascii="宋体" w:hAnsi="宋体"/>
              </w:rPr>
              <w:t>申报备案</w:t>
            </w:r>
          </w:p>
          <w:p>
            <w:pPr>
              <w:spacing w:line="340" w:lineRule="exact"/>
              <w:ind w:firstLine="480"/>
              <w:jc w:val="center"/>
              <w:rPr>
                <w:rFonts w:ascii="宋体" w:hAnsi="宋体"/>
              </w:rPr>
            </w:pPr>
          </w:p>
          <w:p>
            <w:pPr>
              <w:spacing w:line="340" w:lineRule="exact"/>
              <w:ind w:firstLine="480"/>
              <w:jc w:val="center"/>
              <w:rPr>
                <w:rFonts w:ascii="宋体" w:hAnsi="宋体"/>
              </w:rPr>
            </w:pPr>
          </w:p>
          <w:p>
            <w:pPr>
              <w:spacing w:line="340" w:lineRule="exact"/>
              <w:ind w:firstLine="480"/>
              <w:jc w:val="center"/>
              <w:rPr>
                <w:rFonts w:ascii="宋体" w:hAnsi="宋体"/>
              </w:rPr>
            </w:pPr>
            <w:r>
              <w:rPr>
                <w:rFonts w:hint="eastAsia" w:ascii="宋体" w:hAnsi="宋体"/>
              </w:rPr>
              <w:t>产权持有单位盖章</w:t>
            </w:r>
          </w:p>
          <w:p>
            <w:pPr>
              <w:spacing w:line="340" w:lineRule="exact"/>
              <w:ind w:firstLine="480"/>
              <w:jc w:val="center"/>
              <w:rPr>
                <w:rFonts w:ascii="宋体" w:hAnsi="宋体"/>
              </w:rPr>
            </w:pPr>
          </w:p>
          <w:p>
            <w:pPr>
              <w:spacing w:line="340" w:lineRule="exact"/>
              <w:ind w:firstLine="480"/>
              <w:jc w:val="center"/>
              <w:rPr>
                <w:rFonts w:ascii="宋体" w:hAnsi="宋体"/>
              </w:rPr>
            </w:pPr>
          </w:p>
          <w:p>
            <w:pPr>
              <w:spacing w:line="340" w:lineRule="exact"/>
              <w:rPr>
                <w:rFonts w:ascii="宋体" w:hAnsi="宋体"/>
              </w:rPr>
            </w:pPr>
            <w:r>
              <w:rPr>
                <w:rFonts w:hint="eastAsia" w:ascii="宋体" w:hAnsi="宋体"/>
              </w:rPr>
              <w:t>法定代表人签字：</w:t>
            </w:r>
          </w:p>
          <w:p>
            <w:pPr>
              <w:spacing w:line="340" w:lineRule="exact"/>
              <w:ind w:firstLine="480"/>
              <w:rPr>
                <w:rFonts w:ascii="宋体" w:hAnsi="宋体"/>
              </w:rPr>
            </w:pPr>
          </w:p>
          <w:p>
            <w:pPr>
              <w:spacing w:line="340" w:lineRule="exact"/>
              <w:ind w:firstLine="480"/>
              <w:jc w:val="center"/>
              <w:rPr>
                <w:rFonts w:ascii="宋体" w:hAnsi="宋体"/>
              </w:rPr>
            </w:pPr>
            <w:r>
              <w:rPr>
                <w:rFonts w:hint="eastAsia" w:ascii="宋体" w:hAnsi="宋体"/>
              </w:rPr>
              <w:t>年  月  日</w:t>
            </w:r>
          </w:p>
        </w:tc>
        <w:tc>
          <w:tcPr>
            <w:tcW w:w="3240" w:type="dxa"/>
            <w:gridSpan w:val="4"/>
            <w:vAlign w:val="center"/>
          </w:tcPr>
          <w:p>
            <w:pPr>
              <w:spacing w:line="340" w:lineRule="exact"/>
              <w:ind w:firstLine="480"/>
              <w:rPr>
                <w:rFonts w:ascii="宋体" w:hAnsi="宋体"/>
              </w:rPr>
            </w:pPr>
            <w:r>
              <w:rPr>
                <w:rFonts w:hint="eastAsia" w:ascii="宋体" w:hAnsi="宋体"/>
              </w:rPr>
              <w:t xml:space="preserve">  同意转报备案</w:t>
            </w:r>
          </w:p>
          <w:p>
            <w:pPr>
              <w:spacing w:line="340" w:lineRule="exact"/>
              <w:ind w:firstLine="480"/>
              <w:jc w:val="center"/>
              <w:rPr>
                <w:rFonts w:ascii="宋体" w:hAnsi="宋体"/>
              </w:rPr>
            </w:pPr>
          </w:p>
          <w:p>
            <w:pPr>
              <w:spacing w:line="340" w:lineRule="exact"/>
              <w:ind w:firstLine="480"/>
              <w:jc w:val="center"/>
              <w:rPr>
                <w:rFonts w:ascii="宋体" w:hAnsi="宋体"/>
              </w:rPr>
            </w:pPr>
          </w:p>
          <w:p>
            <w:pPr>
              <w:spacing w:line="340" w:lineRule="exact"/>
              <w:ind w:firstLine="480"/>
              <w:rPr>
                <w:rFonts w:ascii="宋体" w:hAnsi="宋体"/>
              </w:rPr>
            </w:pPr>
            <w:r>
              <w:rPr>
                <w:rFonts w:hint="eastAsia" w:ascii="宋体" w:hAnsi="宋体"/>
              </w:rPr>
              <w:t xml:space="preserve">  上级单位盖章</w:t>
            </w:r>
          </w:p>
          <w:p>
            <w:pPr>
              <w:spacing w:line="340" w:lineRule="exact"/>
              <w:ind w:firstLine="480"/>
              <w:jc w:val="center"/>
              <w:rPr>
                <w:rFonts w:ascii="宋体" w:hAnsi="宋体"/>
              </w:rPr>
            </w:pPr>
          </w:p>
          <w:p>
            <w:pPr>
              <w:spacing w:line="340" w:lineRule="exact"/>
              <w:ind w:firstLine="480"/>
              <w:jc w:val="center"/>
              <w:rPr>
                <w:rFonts w:ascii="宋体" w:hAnsi="宋体"/>
              </w:rPr>
            </w:pPr>
          </w:p>
          <w:p>
            <w:pPr>
              <w:spacing w:line="340" w:lineRule="exact"/>
              <w:rPr>
                <w:rFonts w:ascii="宋体" w:hAnsi="宋体"/>
              </w:rPr>
            </w:pPr>
            <w:r>
              <w:rPr>
                <w:rFonts w:hint="eastAsia" w:ascii="宋体" w:hAnsi="宋体"/>
              </w:rPr>
              <w:t>单位领导签字：</w:t>
            </w:r>
          </w:p>
          <w:p>
            <w:pPr>
              <w:spacing w:line="340" w:lineRule="exact"/>
              <w:ind w:firstLine="480"/>
              <w:rPr>
                <w:rFonts w:ascii="宋体" w:hAnsi="宋体"/>
              </w:rPr>
            </w:pPr>
          </w:p>
          <w:p>
            <w:pPr>
              <w:spacing w:line="340" w:lineRule="exact"/>
              <w:ind w:firstLine="480"/>
              <w:jc w:val="center"/>
              <w:rPr>
                <w:rFonts w:ascii="宋体" w:hAnsi="宋体"/>
              </w:rPr>
            </w:pPr>
            <w:r>
              <w:rPr>
                <w:rFonts w:hint="eastAsia" w:ascii="宋体" w:hAnsi="宋体"/>
              </w:rPr>
              <w:t>年  月  日</w:t>
            </w:r>
          </w:p>
        </w:tc>
        <w:tc>
          <w:tcPr>
            <w:tcW w:w="3240" w:type="dxa"/>
            <w:gridSpan w:val="6"/>
            <w:vAlign w:val="center"/>
          </w:tcPr>
          <w:p>
            <w:pPr>
              <w:spacing w:line="340" w:lineRule="exact"/>
              <w:ind w:firstLine="480"/>
              <w:rPr>
                <w:rFonts w:ascii="宋体" w:hAnsi="宋体"/>
              </w:rPr>
            </w:pPr>
            <w:r>
              <w:rPr>
                <w:rFonts w:hint="eastAsia" w:ascii="宋体" w:hAnsi="宋体"/>
              </w:rPr>
              <w:t xml:space="preserve">   备      案</w:t>
            </w:r>
          </w:p>
          <w:p>
            <w:pPr>
              <w:spacing w:line="340" w:lineRule="exact"/>
              <w:ind w:firstLine="480"/>
              <w:rPr>
                <w:rFonts w:ascii="宋体" w:hAnsi="宋体"/>
              </w:rPr>
            </w:pPr>
          </w:p>
          <w:p>
            <w:pPr>
              <w:spacing w:line="340" w:lineRule="exact"/>
              <w:rPr>
                <w:rFonts w:ascii="宋体" w:hAnsi="宋体"/>
              </w:rPr>
            </w:pPr>
            <w:r>
              <w:rPr>
                <w:rFonts w:hint="eastAsia" w:ascii="宋体" w:hAnsi="宋体"/>
              </w:rPr>
              <w:t xml:space="preserve">  国有资产监督管理机构</w:t>
            </w:r>
          </w:p>
          <w:p>
            <w:pPr>
              <w:spacing w:line="340" w:lineRule="exact"/>
              <w:ind w:firstLine="480"/>
              <w:rPr>
                <w:rFonts w:ascii="宋体" w:hAnsi="宋体"/>
              </w:rPr>
            </w:pPr>
          </w:p>
          <w:p>
            <w:pPr>
              <w:spacing w:line="340" w:lineRule="exact"/>
              <w:ind w:firstLine="480"/>
              <w:rPr>
                <w:rFonts w:ascii="宋体" w:hAnsi="宋体"/>
              </w:rPr>
            </w:pPr>
          </w:p>
          <w:p>
            <w:pPr>
              <w:spacing w:line="340" w:lineRule="exact"/>
              <w:ind w:firstLine="480"/>
              <w:rPr>
                <w:rFonts w:ascii="宋体" w:hAnsi="宋体"/>
              </w:rPr>
            </w:pPr>
          </w:p>
          <w:p>
            <w:pPr>
              <w:spacing w:line="340" w:lineRule="exact"/>
              <w:ind w:firstLine="480"/>
              <w:rPr>
                <w:rFonts w:ascii="宋体" w:hAnsi="宋体"/>
              </w:rPr>
            </w:pPr>
          </w:p>
          <w:p>
            <w:pPr>
              <w:spacing w:line="340" w:lineRule="exact"/>
              <w:ind w:firstLine="480"/>
              <w:jc w:val="center"/>
              <w:rPr>
                <w:rFonts w:ascii="宋体" w:hAnsi="宋体"/>
              </w:rPr>
            </w:pPr>
            <w:r>
              <w:rPr>
                <w:rFonts w:hint="eastAsia" w:ascii="宋体" w:hAnsi="宋体"/>
              </w:rPr>
              <w:t>年  月  日</w:t>
            </w:r>
          </w:p>
        </w:tc>
      </w:tr>
    </w:tbl>
    <w:p>
      <w:pPr>
        <w:spacing w:line="440" w:lineRule="exact"/>
        <w:jc w:val="center"/>
        <w:rPr>
          <w:rFonts w:ascii="宋体" w:hAnsi="宋体"/>
          <w:spacing w:val="30"/>
          <w:sz w:val="44"/>
          <w:szCs w:val="44"/>
        </w:rPr>
      </w:pPr>
      <w:r>
        <w:rPr>
          <w:rFonts w:hint="eastAsia" w:ascii="宋体" w:hAnsi="宋体"/>
          <w:b/>
          <w:color w:val="000000"/>
          <w:spacing w:val="-6"/>
          <w:sz w:val="36"/>
          <w:szCs w:val="36"/>
        </w:rPr>
        <w:br w:type="page"/>
      </w:r>
      <w:r>
        <w:rPr>
          <w:rFonts w:hint="eastAsia" w:ascii="方正小标宋简体" w:hAnsi="方正小标宋简体" w:eastAsia="方正小标宋简体"/>
          <w:spacing w:val="30"/>
          <w:sz w:val="44"/>
          <w:szCs w:val="44"/>
        </w:rPr>
        <w:t>资产评估结果</w:t>
      </w:r>
    </w:p>
    <w:p>
      <w:pPr>
        <w:spacing w:line="440" w:lineRule="exact"/>
        <w:ind w:firstLine="560"/>
        <w:rPr>
          <w:rFonts w:ascii="宋体" w:hAnsi="宋体"/>
          <w:spacing w:val="20"/>
        </w:rPr>
      </w:pPr>
    </w:p>
    <w:p>
      <w:pPr>
        <w:spacing w:line="360" w:lineRule="exact"/>
        <w:rPr>
          <w:rFonts w:ascii="宋体" w:hAnsi="宋体"/>
          <w:spacing w:val="20"/>
        </w:rPr>
      </w:pPr>
      <w:r>
        <w:rPr>
          <w:rFonts w:hint="eastAsia" w:ascii="宋体" w:hAnsi="宋体"/>
          <w:spacing w:val="20"/>
        </w:rPr>
        <w:t>评　估　基　准　日：　   年  月  日</w:t>
      </w:r>
    </w:p>
    <w:p>
      <w:pPr>
        <w:spacing w:line="360" w:lineRule="exact"/>
      </w:pPr>
      <w:r>
        <w:rPr>
          <w:rFonts w:hint="eastAsia" w:ascii="宋体" w:hAnsi="宋体"/>
          <w:spacing w:val="20"/>
        </w:rPr>
        <w:t>评估结果使用有效期至：   年  月  日         金额单位：人民币万元</w:t>
      </w:r>
    </w:p>
    <w:tbl>
      <w:tblPr>
        <w:tblStyle w:val="7"/>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1622"/>
        <w:gridCol w:w="1721"/>
        <w:gridCol w:w="155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jc w:val="center"/>
              <w:rPr>
                <w:rFonts w:ascii="宋体" w:hAnsi="宋体"/>
                <w:b/>
                <w:bCs/>
                <w:sz w:val="28"/>
              </w:rPr>
            </w:pPr>
            <w:r>
              <w:rPr>
                <w:rFonts w:hint="eastAsia" w:ascii="宋体" w:hAnsi="宋体"/>
                <w:b/>
                <w:bCs/>
                <w:sz w:val="28"/>
              </w:rPr>
              <w:t>项  目</w:t>
            </w:r>
          </w:p>
        </w:tc>
        <w:tc>
          <w:tcPr>
            <w:tcW w:w="1622" w:type="dxa"/>
            <w:vAlign w:val="center"/>
          </w:tcPr>
          <w:p>
            <w:pPr>
              <w:spacing w:line="280" w:lineRule="exact"/>
              <w:jc w:val="center"/>
              <w:rPr>
                <w:rFonts w:ascii="宋体" w:hAnsi="宋体"/>
                <w:b/>
                <w:bCs/>
                <w:sz w:val="28"/>
              </w:rPr>
            </w:pPr>
            <w:r>
              <w:rPr>
                <w:rFonts w:hint="eastAsia" w:ascii="宋体" w:hAnsi="宋体"/>
                <w:b/>
                <w:bCs/>
                <w:sz w:val="28"/>
              </w:rPr>
              <w:t>账面价值</w:t>
            </w:r>
          </w:p>
        </w:tc>
        <w:tc>
          <w:tcPr>
            <w:tcW w:w="1721" w:type="dxa"/>
            <w:vAlign w:val="center"/>
          </w:tcPr>
          <w:p>
            <w:pPr>
              <w:spacing w:line="280" w:lineRule="exact"/>
              <w:jc w:val="center"/>
              <w:rPr>
                <w:rFonts w:ascii="宋体" w:hAnsi="宋体"/>
                <w:b/>
                <w:bCs/>
                <w:sz w:val="28"/>
              </w:rPr>
            </w:pPr>
            <w:r>
              <w:rPr>
                <w:rFonts w:hint="eastAsia" w:ascii="宋体" w:hAnsi="宋体"/>
                <w:b/>
                <w:bCs/>
                <w:sz w:val="28"/>
              </w:rPr>
              <w:t>评估价值</w:t>
            </w:r>
          </w:p>
        </w:tc>
        <w:tc>
          <w:tcPr>
            <w:tcW w:w="1559" w:type="dxa"/>
            <w:vAlign w:val="center"/>
          </w:tcPr>
          <w:p>
            <w:pPr>
              <w:spacing w:line="280" w:lineRule="exact"/>
              <w:jc w:val="center"/>
              <w:rPr>
                <w:rFonts w:ascii="宋体" w:hAnsi="宋体"/>
                <w:b/>
                <w:bCs/>
                <w:sz w:val="28"/>
              </w:rPr>
            </w:pPr>
            <w:r>
              <w:rPr>
                <w:rFonts w:hint="eastAsia" w:ascii="宋体" w:hAnsi="宋体"/>
                <w:b/>
                <w:bCs/>
                <w:sz w:val="28"/>
              </w:rPr>
              <w:t>增减值</w:t>
            </w:r>
          </w:p>
        </w:tc>
        <w:tc>
          <w:tcPr>
            <w:tcW w:w="1260" w:type="dxa"/>
            <w:vAlign w:val="center"/>
          </w:tcPr>
          <w:p>
            <w:pPr>
              <w:spacing w:line="280" w:lineRule="exact"/>
              <w:jc w:val="center"/>
              <w:rPr>
                <w:rFonts w:ascii="宋体" w:hAnsi="宋体"/>
                <w:b/>
                <w:bCs/>
                <w:sz w:val="28"/>
              </w:rPr>
            </w:pPr>
            <w:r>
              <w:rPr>
                <w:rFonts w:hint="eastAsia" w:ascii="宋体" w:hAnsi="宋体"/>
                <w:b/>
                <w:bCs/>
                <w:sz w:val="28"/>
              </w:rPr>
              <w:t>增减率</w:t>
            </w:r>
          </w:p>
          <w:p>
            <w:pPr>
              <w:spacing w:line="280" w:lineRule="exact"/>
              <w:jc w:val="center"/>
              <w:rPr>
                <w:rFonts w:ascii="宋体" w:hAnsi="宋体"/>
                <w:b/>
                <w:bCs/>
                <w:sz w:val="28"/>
              </w:rPr>
            </w:pPr>
            <w:r>
              <w:rPr>
                <w:rFonts w:hint="eastAsia" w:ascii="宋体" w:hAnsi="宋体"/>
                <w:b/>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478" w:type="dxa"/>
            <w:vAlign w:val="center"/>
          </w:tcPr>
          <w:p>
            <w:pPr>
              <w:spacing w:line="280" w:lineRule="exact"/>
              <w:jc w:val="left"/>
              <w:rPr>
                <w:rFonts w:ascii="宋体" w:hAnsi="宋体"/>
                <w:sz w:val="24"/>
              </w:rPr>
            </w:pPr>
            <w:r>
              <w:rPr>
                <w:rFonts w:hint="eastAsia" w:ascii="宋体" w:hAnsi="宋体"/>
                <w:sz w:val="24"/>
              </w:rPr>
              <w:t>流动资产</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478" w:type="dxa"/>
            <w:vAlign w:val="center"/>
          </w:tcPr>
          <w:p>
            <w:pPr>
              <w:spacing w:line="280" w:lineRule="exact"/>
              <w:jc w:val="left"/>
              <w:rPr>
                <w:rFonts w:ascii="宋体" w:hAnsi="宋体"/>
                <w:sz w:val="24"/>
              </w:rPr>
            </w:pPr>
            <w:r>
              <w:rPr>
                <w:rFonts w:hint="eastAsia" w:ascii="宋体" w:hAnsi="宋体"/>
                <w:sz w:val="24"/>
              </w:rPr>
              <w:t>非流动资产</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478" w:type="dxa"/>
            <w:vAlign w:val="center"/>
          </w:tcPr>
          <w:p>
            <w:pPr>
              <w:spacing w:line="280" w:lineRule="exact"/>
              <w:jc w:val="left"/>
              <w:rPr>
                <w:rFonts w:ascii="宋体" w:hAnsi="宋体"/>
                <w:sz w:val="24"/>
              </w:rPr>
            </w:pPr>
            <w:r>
              <w:rPr>
                <w:rFonts w:hint="eastAsia" w:ascii="宋体" w:hAnsi="宋体"/>
                <w:sz w:val="24"/>
              </w:rPr>
              <w:t>其中:长期</w:t>
            </w:r>
            <w:r>
              <w:rPr>
                <w:rFonts w:ascii="宋体" w:hAnsi="宋体"/>
                <w:sz w:val="24"/>
              </w:rPr>
              <w:t>股权投资</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478" w:type="dxa"/>
            <w:vAlign w:val="center"/>
          </w:tcPr>
          <w:p>
            <w:pPr>
              <w:spacing w:line="280" w:lineRule="exact"/>
              <w:ind w:firstLine="600" w:firstLineChars="250"/>
              <w:jc w:val="left"/>
              <w:rPr>
                <w:rFonts w:ascii="宋体" w:hAnsi="宋体"/>
                <w:sz w:val="24"/>
              </w:rPr>
            </w:pPr>
            <w:r>
              <w:rPr>
                <w:rFonts w:hint="eastAsia" w:ascii="宋体" w:hAnsi="宋体"/>
                <w:sz w:val="24"/>
              </w:rPr>
              <w:t>投资性</w:t>
            </w:r>
            <w:r>
              <w:rPr>
                <w:rFonts w:ascii="宋体" w:hAnsi="宋体"/>
                <w:sz w:val="24"/>
              </w:rPr>
              <w:t>房地产</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478" w:type="dxa"/>
            <w:vAlign w:val="center"/>
          </w:tcPr>
          <w:p>
            <w:pPr>
              <w:spacing w:line="280" w:lineRule="exact"/>
              <w:jc w:val="left"/>
              <w:rPr>
                <w:rFonts w:ascii="宋体" w:hAnsi="宋体"/>
                <w:sz w:val="24"/>
              </w:rPr>
            </w:pPr>
            <w:r>
              <w:rPr>
                <w:rFonts w:hint="eastAsia" w:ascii="宋体" w:hAnsi="宋体"/>
                <w:sz w:val="24"/>
              </w:rPr>
              <w:t xml:space="preserve">     固定</w:t>
            </w:r>
            <w:r>
              <w:rPr>
                <w:rFonts w:ascii="宋体" w:hAnsi="宋体"/>
                <w:sz w:val="24"/>
              </w:rPr>
              <w:t>资产</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ind w:firstLine="480"/>
              <w:jc w:val="left"/>
              <w:rPr>
                <w:rFonts w:ascii="宋体" w:hAnsi="宋体"/>
                <w:sz w:val="24"/>
              </w:rPr>
            </w:pPr>
            <w:r>
              <w:rPr>
                <w:rFonts w:hint="eastAsia" w:ascii="宋体" w:hAnsi="宋体"/>
                <w:sz w:val="24"/>
              </w:rPr>
              <w:t xml:space="preserve"> 在建工程</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rPr>
                <w:rFonts w:ascii="宋体" w:hAnsi="宋体"/>
                <w:sz w:val="24"/>
              </w:rPr>
            </w:pPr>
            <w:r>
              <w:rPr>
                <w:rFonts w:hint="eastAsia" w:ascii="宋体" w:hAnsi="宋体"/>
                <w:b/>
                <w:sz w:val="24"/>
              </w:rPr>
              <w:t xml:space="preserve">     </w:t>
            </w:r>
            <w:r>
              <w:rPr>
                <w:rFonts w:hint="eastAsia" w:ascii="宋体" w:hAnsi="宋体"/>
                <w:sz w:val="24"/>
              </w:rPr>
              <w:t>无形资产</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ind w:left="315" w:leftChars="150" w:firstLine="480"/>
              <w:rPr>
                <w:rFonts w:ascii="宋体" w:hAnsi="宋体"/>
                <w:b/>
                <w:sz w:val="24"/>
              </w:rPr>
            </w:pPr>
            <w:r>
              <w:rPr>
                <w:rFonts w:hint="eastAsia" w:ascii="宋体" w:hAnsi="宋体"/>
                <w:sz w:val="24"/>
              </w:rPr>
              <w:t>其中</w:t>
            </w:r>
            <w:r>
              <w:rPr>
                <w:rFonts w:ascii="宋体" w:hAnsi="宋体"/>
                <w:sz w:val="24"/>
              </w:rPr>
              <w:t>：无形资产—</w:t>
            </w:r>
            <w:r>
              <w:rPr>
                <w:rFonts w:hint="eastAsia" w:ascii="宋体" w:hAnsi="宋体"/>
                <w:sz w:val="24"/>
              </w:rPr>
              <w:t>土地使用权</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rPr>
                <w:rFonts w:ascii="宋体" w:hAnsi="宋体"/>
                <w:sz w:val="24"/>
              </w:rPr>
            </w:pPr>
            <w:r>
              <w:rPr>
                <w:rFonts w:hint="eastAsia" w:ascii="宋体" w:hAnsi="宋体"/>
                <w:sz w:val="24"/>
              </w:rPr>
              <w:t xml:space="preserve">    其他</w:t>
            </w:r>
            <w:r>
              <w:rPr>
                <w:rFonts w:ascii="宋体" w:hAnsi="宋体"/>
                <w:sz w:val="24"/>
              </w:rPr>
              <w:t>非流动资产</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jc w:val="center"/>
              <w:rPr>
                <w:rFonts w:ascii="宋体" w:hAnsi="宋体"/>
                <w:b/>
                <w:sz w:val="24"/>
              </w:rPr>
            </w:pPr>
            <w:r>
              <w:rPr>
                <w:rFonts w:hint="eastAsia" w:ascii="宋体" w:hAnsi="宋体"/>
                <w:sz w:val="24"/>
              </w:rPr>
              <w:t xml:space="preserve">  </w:t>
            </w:r>
            <w:r>
              <w:rPr>
                <w:rFonts w:hint="eastAsia" w:ascii="宋体" w:hAnsi="宋体"/>
                <w:b/>
                <w:sz w:val="24"/>
              </w:rPr>
              <w:t>资产总计</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rPr>
                <w:rFonts w:ascii="宋体" w:hAnsi="宋体"/>
                <w:sz w:val="24"/>
              </w:rPr>
            </w:pPr>
            <w:r>
              <w:rPr>
                <w:rFonts w:hint="eastAsia" w:ascii="宋体" w:hAnsi="宋体"/>
                <w:sz w:val="24"/>
              </w:rPr>
              <w:t>流动负债</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rPr>
                <w:rFonts w:ascii="宋体" w:hAnsi="宋体"/>
                <w:sz w:val="24"/>
              </w:rPr>
            </w:pPr>
            <w:r>
              <w:rPr>
                <w:rFonts w:hint="eastAsia" w:ascii="宋体" w:hAnsi="宋体"/>
                <w:sz w:val="24"/>
              </w:rPr>
              <w:t>长期负债</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jc w:val="center"/>
              <w:rPr>
                <w:rFonts w:ascii="宋体" w:hAnsi="宋体"/>
                <w:b/>
                <w:sz w:val="24"/>
              </w:rPr>
            </w:pPr>
            <w:r>
              <w:rPr>
                <w:rFonts w:hint="eastAsia" w:ascii="宋体" w:hAnsi="宋体"/>
                <w:b/>
                <w:sz w:val="24"/>
              </w:rPr>
              <w:t>负债总计</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280" w:lineRule="exact"/>
              <w:jc w:val="center"/>
              <w:rPr>
                <w:rFonts w:ascii="宋体" w:hAnsi="宋体"/>
                <w:b/>
                <w:sz w:val="24"/>
              </w:rPr>
            </w:pPr>
            <w:r>
              <w:rPr>
                <w:rFonts w:hint="eastAsia" w:ascii="宋体" w:hAnsi="宋体"/>
                <w:b/>
                <w:sz w:val="24"/>
              </w:rPr>
              <w:t>净 资 产</w:t>
            </w:r>
          </w:p>
        </w:tc>
        <w:tc>
          <w:tcPr>
            <w:tcW w:w="1622" w:type="dxa"/>
            <w:vAlign w:val="center"/>
          </w:tcPr>
          <w:p>
            <w:pPr>
              <w:spacing w:line="280" w:lineRule="exact"/>
              <w:ind w:firstLine="480"/>
              <w:jc w:val="center"/>
              <w:rPr>
                <w:rFonts w:ascii="宋体" w:hAnsi="宋体"/>
              </w:rPr>
            </w:pPr>
          </w:p>
        </w:tc>
        <w:tc>
          <w:tcPr>
            <w:tcW w:w="1721" w:type="dxa"/>
            <w:vAlign w:val="center"/>
          </w:tcPr>
          <w:p>
            <w:pPr>
              <w:spacing w:line="280" w:lineRule="exact"/>
              <w:ind w:firstLine="480"/>
              <w:jc w:val="center"/>
              <w:rPr>
                <w:rFonts w:ascii="宋体" w:hAnsi="宋体"/>
              </w:rPr>
            </w:pPr>
          </w:p>
        </w:tc>
        <w:tc>
          <w:tcPr>
            <w:tcW w:w="1559" w:type="dxa"/>
            <w:vAlign w:val="center"/>
          </w:tcPr>
          <w:p>
            <w:pPr>
              <w:spacing w:line="280" w:lineRule="exact"/>
              <w:ind w:firstLine="480"/>
              <w:jc w:val="center"/>
              <w:rPr>
                <w:rFonts w:ascii="宋体" w:hAnsi="宋体"/>
              </w:rPr>
            </w:pPr>
          </w:p>
        </w:tc>
        <w:tc>
          <w:tcPr>
            <w:tcW w:w="1260" w:type="dxa"/>
            <w:vAlign w:val="center"/>
          </w:tcPr>
          <w:p>
            <w:pPr>
              <w:spacing w:line="280" w:lineRule="exact"/>
              <w:ind w:firstLine="480"/>
              <w:jc w:val="center"/>
              <w:rPr>
                <w:rFonts w:ascii="宋体" w:hAnsi="宋体"/>
              </w:rPr>
            </w:pPr>
          </w:p>
        </w:tc>
      </w:tr>
    </w:tbl>
    <w:p>
      <w:pPr>
        <w:adjustRightInd w:val="0"/>
        <w:snapToGrid w:val="0"/>
        <w:spacing w:line="280" w:lineRule="exact"/>
      </w:pPr>
      <w:r>
        <w:rPr>
          <w:rFonts w:hint="eastAsia"/>
        </w:rPr>
        <w:t xml:space="preserve">                                                                     </w:t>
      </w:r>
    </w:p>
    <w:p>
      <w:pPr>
        <w:rPr>
          <w:rFonts w:hint="eastAsia" w:ascii="仿宋_GB2312" w:hAnsi="仿宋_GB2312" w:eastAsia="仿宋_GB2312"/>
          <w:sz w:val="32"/>
          <w:szCs w:val="36"/>
        </w:rPr>
      </w:pPr>
    </w:p>
    <w:p>
      <w:pPr>
        <w:rPr>
          <w:rFonts w:hint="eastAsia" w:ascii="仿宋_GB2312" w:hAnsi="仿宋_GB2312" w:eastAsia="仿宋_GB2312"/>
          <w:sz w:val="32"/>
          <w:szCs w:val="36"/>
        </w:rPr>
      </w:pPr>
    </w:p>
    <w:p>
      <w:pPr>
        <w:rPr>
          <w:rFonts w:hint="eastAsia" w:ascii="仿宋_GB2312" w:hAnsi="仿宋_GB2312" w:eastAsia="仿宋_GB2312"/>
          <w:sz w:val="32"/>
          <w:szCs w:val="36"/>
        </w:rPr>
      </w:pPr>
    </w:p>
    <w:p>
      <w:pPr>
        <w:rPr>
          <w:rFonts w:hint="eastAsia" w:ascii="仿宋_GB2312" w:hAnsi="仿宋_GB2312" w:eastAsia="仿宋_GB2312"/>
          <w:sz w:val="32"/>
          <w:szCs w:val="36"/>
        </w:rPr>
      </w:pPr>
    </w:p>
    <w:p>
      <w:pPr>
        <w:rPr>
          <w:rFonts w:ascii="仿宋_GB2312" w:hAnsi="仿宋_GB2312" w:eastAsia="仿宋_GB2312"/>
          <w:sz w:val="32"/>
          <w:szCs w:val="36"/>
        </w:rPr>
      </w:pPr>
      <w:r>
        <w:rPr>
          <w:rFonts w:hint="eastAsia" w:ascii="仿宋_GB2312" w:hAnsi="仿宋_GB2312" w:eastAsia="仿宋_GB2312"/>
          <w:sz w:val="32"/>
          <w:szCs w:val="36"/>
        </w:rPr>
        <w:t>备注：</w:t>
      </w:r>
    </w:p>
    <w:p>
      <w:pPr>
        <w:ind w:left="320" w:hanging="320" w:hangingChars="100"/>
        <w:rPr>
          <w:rFonts w:ascii="仿宋_GB2312" w:hAnsi="仿宋_GB2312" w:eastAsia="仿宋_GB2312"/>
          <w:sz w:val="32"/>
          <w:szCs w:val="36"/>
        </w:rPr>
      </w:pPr>
      <w:r>
        <w:rPr>
          <w:rFonts w:hint="eastAsia" w:ascii="仿宋_GB2312" w:hAnsi="仿宋_GB2312" w:eastAsia="仿宋_GB2312"/>
          <w:sz w:val="32"/>
          <w:szCs w:val="36"/>
        </w:rPr>
        <w:t>1．本备案表应与资产评估报告书同时使用,评估报告的使用各方应关注评估报告书中所揭示的特别事项和评估报告的法律效力等内容,合理使用评估结果。</w:t>
      </w:r>
    </w:p>
    <w:p>
      <w:pPr>
        <w:ind w:left="320" w:hanging="320" w:hangingChars="100"/>
        <w:rPr>
          <w:rFonts w:ascii="仿宋_GB2312" w:hAnsi="仿宋_GB2312" w:eastAsia="仿宋_GB2312"/>
          <w:sz w:val="32"/>
          <w:szCs w:val="36"/>
        </w:rPr>
      </w:pPr>
      <w:r>
        <w:rPr>
          <w:rFonts w:hint="eastAsia" w:ascii="仿宋_GB2312" w:hAnsi="仿宋_GB2312" w:eastAsia="仿宋_GB2312"/>
          <w:sz w:val="32"/>
          <w:szCs w:val="36"/>
        </w:rPr>
        <w:t>2.本项目所出具的资产评估报告的法律责任由受托评估机构和在评估报告中签字的具有相应执业资格的评估人员共同承担，不因本备案而转移其法律责任。</w:t>
      </w:r>
    </w:p>
    <w:p>
      <w:pPr>
        <w:ind w:left="320" w:hanging="320" w:hangingChars="100"/>
        <w:rPr>
          <w:rFonts w:ascii="仿宋_GB2312" w:hAnsi="仿宋_GB2312" w:eastAsia="仿宋_GB2312"/>
          <w:sz w:val="32"/>
          <w:szCs w:val="36"/>
        </w:rPr>
      </w:pPr>
      <w:r>
        <w:rPr>
          <w:rFonts w:hint="eastAsia" w:ascii="仿宋_GB2312" w:hAnsi="仿宋_GB2312" w:eastAsia="仿宋_GB2312"/>
          <w:sz w:val="32"/>
          <w:szCs w:val="36"/>
        </w:rPr>
        <w:t>3.本表一式三份。一份留存备案单位，一份送产权持有单位，一份送上级单位。</w:t>
      </w:r>
    </w:p>
    <w:p>
      <w:pPr>
        <w:rPr>
          <w:rFonts w:ascii="仿宋_GB2312" w:eastAsia="仿宋_GB2312"/>
          <w:sz w:val="32"/>
          <w:szCs w:val="32"/>
        </w:rPr>
      </w:pPr>
      <w:r>
        <w:rPr>
          <w:rFonts w:hint="eastAsia" w:ascii="宋体" w:hAnsi="宋体" w:cs="宋体"/>
          <w:szCs w:val="21"/>
        </w:rPr>
        <w:br w:type="page"/>
      </w:r>
      <w:r>
        <w:rPr>
          <w:rFonts w:hint="eastAsia" w:ascii="黑体" w:hAnsi="黑体" w:eastAsia="黑体" w:cs="宋体"/>
          <w:sz w:val="32"/>
          <w:szCs w:val="21"/>
        </w:rPr>
        <w:t>附件2</w:t>
      </w:r>
    </w:p>
    <w:p>
      <w:pPr>
        <w:wordWrap w:val="0"/>
        <w:ind w:firstLine="640"/>
        <w:jc w:val="right"/>
        <w:rPr>
          <w:sz w:val="32"/>
          <w:szCs w:val="32"/>
          <w:u w:val="single"/>
        </w:rPr>
      </w:pPr>
      <w:r>
        <w:rPr>
          <w:rFonts w:hint="eastAsia"/>
          <w:sz w:val="32"/>
          <w:szCs w:val="32"/>
        </w:rPr>
        <w:t>备案编号：</w:t>
      </w:r>
      <w:r>
        <w:rPr>
          <w:rFonts w:hint="eastAsia"/>
          <w:sz w:val="32"/>
          <w:szCs w:val="32"/>
          <w:u w:val="single"/>
        </w:rPr>
        <w:t xml:space="preserve">            </w:t>
      </w:r>
    </w:p>
    <w:p>
      <w:pPr>
        <w:ind w:firstLine="640"/>
        <w:jc w:val="right"/>
        <w:rPr>
          <w:sz w:val="32"/>
          <w:szCs w:val="32"/>
          <w:u w:val="single"/>
        </w:rPr>
      </w:pPr>
    </w:p>
    <w:p>
      <w:pPr>
        <w:ind w:firstLine="640"/>
        <w:jc w:val="right"/>
        <w:rPr>
          <w:sz w:val="32"/>
          <w:szCs w:val="32"/>
          <w:u w:val="single"/>
        </w:rPr>
      </w:pPr>
    </w:p>
    <w:p>
      <w:pPr>
        <w:ind w:firstLine="640"/>
        <w:jc w:val="right"/>
        <w:rPr>
          <w:sz w:val="32"/>
          <w:szCs w:val="32"/>
          <w:u w:val="single"/>
        </w:rPr>
      </w:pPr>
    </w:p>
    <w:p>
      <w:pPr>
        <w:ind w:firstLine="640"/>
        <w:rPr>
          <w:sz w:val="32"/>
          <w:szCs w:val="32"/>
          <w:u w:val="single"/>
        </w:rPr>
      </w:pPr>
    </w:p>
    <w:p>
      <w:pPr>
        <w:ind w:firstLine="640"/>
        <w:jc w:val="center"/>
        <w:rPr>
          <w:sz w:val="32"/>
          <w:szCs w:val="32"/>
          <w:u w:val="single"/>
        </w:rPr>
      </w:pPr>
    </w:p>
    <w:p>
      <w:pPr>
        <w:rPr>
          <w:b/>
          <w:spacing w:val="30"/>
          <w:sz w:val="52"/>
          <w:szCs w:val="52"/>
        </w:rPr>
      </w:pPr>
      <w:r>
        <w:rPr>
          <w:rFonts w:hint="eastAsia"/>
          <w:b/>
          <w:spacing w:val="30"/>
          <w:sz w:val="52"/>
          <w:szCs w:val="52"/>
        </w:rPr>
        <w:t>接受非国有资产评估项目备案表</w:t>
      </w:r>
    </w:p>
    <w:p>
      <w:pPr>
        <w:ind w:firstLine="1325"/>
        <w:jc w:val="center"/>
        <w:rPr>
          <w:b/>
          <w:spacing w:val="30"/>
          <w:sz w:val="60"/>
          <w:szCs w:val="60"/>
        </w:rPr>
      </w:pPr>
    </w:p>
    <w:p>
      <w:pPr>
        <w:ind w:firstLine="1325"/>
        <w:jc w:val="center"/>
        <w:rPr>
          <w:b/>
          <w:spacing w:val="30"/>
          <w:sz w:val="60"/>
          <w:szCs w:val="60"/>
        </w:rPr>
      </w:pPr>
    </w:p>
    <w:p>
      <w:pPr>
        <w:rPr>
          <w:sz w:val="32"/>
          <w:szCs w:val="32"/>
        </w:rPr>
      </w:pPr>
    </w:p>
    <w:p>
      <w:pPr>
        <w:rPr>
          <w:spacing w:val="30"/>
          <w:sz w:val="32"/>
          <w:szCs w:val="32"/>
          <w:u w:val="single"/>
        </w:rPr>
      </w:pPr>
      <w:r>
        <w:rPr>
          <w:rFonts w:hint="eastAsia"/>
          <w:sz w:val="32"/>
          <w:szCs w:val="32"/>
        </w:rPr>
        <w:t xml:space="preserve">   接受非国有资产的企业（盖章）</w:t>
      </w:r>
      <w:r>
        <w:rPr>
          <w:rFonts w:hint="eastAsia"/>
          <w:spacing w:val="30"/>
          <w:sz w:val="32"/>
          <w:szCs w:val="32"/>
        </w:rPr>
        <w:t>：</w:t>
      </w:r>
      <w:r>
        <w:rPr>
          <w:rFonts w:hint="eastAsia"/>
          <w:spacing w:val="30"/>
          <w:sz w:val="32"/>
          <w:szCs w:val="32"/>
          <w:u w:val="single"/>
        </w:rPr>
        <w:t xml:space="preserve">               </w:t>
      </w:r>
    </w:p>
    <w:p>
      <w:pPr>
        <w:ind w:firstLine="1432" w:firstLineChars="377"/>
        <w:jc w:val="center"/>
        <w:rPr>
          <w:spacing w:val="30"/>
          <w:sz w:val="32"/>
          <w:szCs w:val="32"/>
          <w:u w:val="single"/>
        </w:rPr>
      </w:pPr>
    </w:p>
    <w:p>
      <w:pPr>
        <w:rPr>
          <w:spacing w:val="30"/>
          <w:sz w:val="32"/>
          <w:szCs w:val="32"/>
          <w:u w:val="single"/>
        </w:rPr>
      </w:pPr>
      <w:r>
        <w:rPr>
          <w:rFonts w:hint="eastAsia"/>
          <w:sz w:val="32"/>
          <w:szCs w:val="32"/>
        </w:rPr>
        <w:t xml:space="preserve">   法  定  代  表  人 （签字）</w:t>
      </w:r>
      <w:r>
        <w:rPr>
          <w:rFonts w:hint="eastAsia"/>
          <w:spacing w:val="30"/>
          <w:sz w:val="32"/>
          <w:szCs w:val="32"/>
        </w:rPr>
        <w:t>：</w:t>
      </w:r>
      <w:r>
        <w:rPr>
          <w:rFonts w:hint="eastAsia"/>
          <w:spacing w:val="30"/>
          <w:sz w:val="32"/>
          <w:szCs w:val="32"/>
          <w:u w:val="single"/>
        </w:rPr>
        <w:t xml:space="preserve">               </w:t>
      </w:r>
    </w:p>
    <w:p>
      <w:pPr>
        <w:ind w:firstLine="1299" w:firstLineChars="342"/>
        <w:jc w:val="center"/>
        <w:rPr>
          <w:spacing w:val="30"/>
          <w:sz w:val="32"/>
          <w:szCs w:val="32"/>
          <w:u w:val="single"/>
        </w:rPr>
      </w:pPr>
    </w:p>
    <w:p>
      <w:pPr>
        <w:rPr>
          <w:spacing w:val="30"/>
          <w:sz w:val="32"/>
          <w:szCs w:val="32"/>
          <w:u w:val="single"/>
        </w:rPr>
      </w:pPr>
      <w:r>
        <w:rPr>
          <w:rFonts w:hint="eastAsia"/>
          <w:spacing w:val="390"/>
          <w:sz w:val="32"/>
          <w:szCs w:val="32"/>
        </w:rPr>
        <w:t xml:space="preserve"> 填报日</w:t>
      </w:r>
      <w:r>
        <w:rPr>
          <w:rFonts w:hint="eastAsia"/>
          <w:sz w:val="32"/>
          <w:szCs w:val="32"/>
        </w:rPr>
        <w:t>期</w:t>
      </w:r>
      <w:r>
        <w:rPr>
          <w:rFonts w:hint="eastAsia"/>
          <w:spacing w:val="30"/>
          <w:sz w:val="32"/>
          <w:szCs w:val="32"/>
        </w:rPr>
        <w:t xml:space="preserve">：  </w:t>
      </w:r>
      <w:r>
        <w:rPr>
          <w:rFonts w:hint="eastAsia"/>
          <w:spacing w:val="30"/>
          <w:sz w:val="32"/>
          <w:szCs w:val="32"/>
          <w:u w:val="single"/>
        </w:rPr>
        <w:t xml:space="preserve">              </w:t>
      </w:r>
    </w:p>
    <w:p>
      <w:pPr>
        <w:ind w:firstLine="486" w:firstLineChars="128"/>
        <w:jc w:val="center"/>
        <w:rPr>
          <w:spacing w:val="30"/>
          <w:sz w:val="32"/>
          <w:szCs w:val="32"/>
          <w:u w:val="single"/>
        </w:rPr>
      </w:pPr>
    </w:p>
    <w:p>
      <w:pPr>
        <w:ind w:firstLine="486" w:firstLineChars="128"/>
        <w:rPr>
          <w:spacing w:val="30"/>
          <w:sz w:val="32"/>
          <w:szCs w:val="32"/>
          <w:u w:val="single"/>
        </w:rPr>
      </w:pPr>
    </w:p>
    <w:p>
      <w:pPr>
        <w:ind w:left="341" w:hanging="341" w:hangingChars="100"/>
        <w:jc w:val="center"/>
        <w:rPr>
          <w:rFonts w:ascii="宋体" w:hAnsi="宋体" w:cs="宋体"/>
          <w:szCs w:val="21"/>
        </w:rPr>
      </w:pPr>
      <w:r>
        <w:rPr>
          <w:rFonts w:hint="eastAsia" w:ascii="黑体" w:eastAsia="黑体"/>
          <w:b/>
          <w:spacing w:val="30"/>
          <w:sz w:val="28"/>
          <w:szCs w:val="28"/>
        </w:rPr>
        <w:t>天津市人民政府国有资产监督管理委员会制</w:t>
      </w:r>
    </w:p>
    <w:p>
      <w:pPr>
        <w:jc w:val="center"/>
        <w:rPr>
          <w:rFonts w:ascii="宋体" w:hAnsi="宋体"/>
          <w:spacing w:val="30"/>
          <w:sz w:val="44"/>
          <w:szCs w:val="44"/>
        </w:rPr>
      </w:pPr>
      <w:r>
        <w:rPr>
          <w:rFonts w:hint="eastAsia"/>
        </w:rPr>
        <w:br w:type="page"/>
      </w:r>
      <w:r>
        <w:rPr>
          <w:rFonts w:hint="eastAsia" w:ascii="方正小标宋简体" w:hAnsi="方正小标宋简体" w:eastAsia="方正小标宋简体"/>
          <w:spacing w:val="30"/>
          <w:sz w:val="44"/>
          <w:szCs w:val="44"/>
        </w:rPr>
        <w:t>资产评估项目基本情况</w:t>
      </w:r>
    </w:p>
    <w:tbl>
      <w:tblPr>
        <w:tblStyle w:val="7"/>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0"/>
        <w:gridCol w:w="750"/>
        <w:gridCol w:w="870"/>
        <w:gridCol w:w="807"/>
        <w:gridCol w:w="813"/>
        <w:gridCol w:w="197"/>
        <w:gridCol w:w="1063"/>
        <w:gridCol w:w="720"/>
        <w:gridCol w:w="1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700" w:type="dxa"/>
            <w:vAlign w:val="center"/>
          </w:tcPr>
          <w:p>
            <w:pPr>
              <w:spacing w:line="360" w:lineRule="exact"/>
              <w:ind w:firstLine="480"/>
              <w:jc w:val="center"/>
              <w:rPr>
                <w:rFonts w:ascii="宋体" w:hAnsi="宋体"/>
              </w:rPr>
            </w:pPr>
            <w:r>
              <w:rPr>
                <w:rFonts w:hint="eastAsia" w:ascii="宋体" w:hAnsi="宋体"/>
              </w:rPr>
              <w:t>评　估　对　象</w:t>
            </w:r>
          </w:p>
        </w:tc>
        <w:tc>
          <w:tcPr>
            <w:tcW w:w="6660" w:type="dxa"/>
            <w:gridSpan w:val="10"/>
            <w:vAlign w:val="center"/>
          </w:tcPr>
          <w:p>
            <w:pPr>
              <w:spacing w:line="36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700" w:type="dxa"/>
            <w:vAlign w:val="center"/>
          </w:tcPr>
          <w:p>
            <w:pPr>
              <w:spacing w:line="360" w:lineRule="exact"/>
              <w:jc w:val="center"/>
              <w:rPr>
                <w:rFonts w:ascii="宋体" w:hAnsi="宋体"/>
              </w:rPr>
            </w:pPr>
            <w:r>
              <w:rPr>
                <w:rFonts w:hint="eastAsia" w:ascii="宋体" w:hAnsi="宋体"/>
              </w:rPr>
              <w:t>接受非国有资产的企业</w:t>
            </w:r>
          </w:p>
        </w:tc>
        <w:tc>
          <w:tcPr>
            <w:tcW w:w="3797" w:type="dxa"/>
            <w:gridSpan w:val="6"/>
            <w:vAlign w:val="center"/>
          </w:tcPr>
          <w:p>
            <w:pPr>
              <w:spacing w:line="360" w:lineRule="exact"/>
              <w:ind w:firstLine="480"/>
              <w:jc w:val="center"/>
              <w:rPr>
                <w:rFonts w:ascii="宋体" w:hAnsi="宋体"/>
              </w:rPr>
            </w:pPr>
          </w:p>
        </w:tc>
        <w:tc>
          <w:tcPr>
            <w:tcW w:w="1783" w:type="dxa"/>
            <w:gridSpan w:val="2"/>
            <w:vAlign w:val="center"/>
          </w:tcPr>
          <w:p>
            <w:pPr>
              <w:spacing w:line="360" w:lineRule="exact"/>
              <w:jc w:val="center"/>
              <w:rPr>
                <w:rFonts w:ascii="宋体" w:hAnsi="宋体"/>
              </w:rPr>
            </w:pPr>
            <w:r>
              <w:rPr>
                <w:rFonts w:hint="eastAsia" w:ascii="宋体" w:hAnsi="宋体"/>
              </w:rPr>
              <w:t>企业管理级次</w:t>
            </w:r>
          </w:p>
        </w:tc>
        <w:tc>
          <w:tcPr>
            <w:tcW w:w="1080" w:type="dxa"/>
            <w:gridSpan w:val="2"/>
            <w:vAlign w:val="center"/>
          </w:tcPr>
          <w:p>
            <w:pPr>
              <w:spacing w:line="36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700" w:type="dxa"/>
            <w:vAlign w:val="center"/>
          </w:tcPr>
          <w:p>
            <w:pPr>
              <w:spacing w:line="360" w:lineRule="exact"/>
              <w:jc w:val="center"/>
              <w:rPr>
                <w:rFonts w:ascii="宋体" w:hAnsi="宋体"/>
              </w:rPr>
            </w:pPr>
            <w:r>
              <w:rPr>
                <w:rFonts w:hint="eastAsia" w:ascii="宋体" w:hAnsi="宋体"/>
              </w:rPr>
              <w:t>资产评估委托方</w:t>
            </w:r>
          </w:p>
        </w:tc>
        <w:tc>
          <w:tcPr>
            <w:tcW w:w="6660" w:type="dxa"/>
            <w:gridSpan w:val="10"/>
            <w:vAlign w:val="center"/>
          </w:tcPr>
          <w:p>
            <w:pPr>
              <w:spacing w:line="36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700" w:type="dxa"/>
            <w:vAlign w:val="center"/>
          </w:tcPr>
          <w:p>
            <w:pPr>
              <w:spacing w:line="360" w:lineRule="exact"/>
              <w:jc w:val="center"/>
              <w:rPr>
                <w:rFonts w:ascii="宋体" w:hAnsi="宋体"/>
              </w:rPr>
            </w:pPr>
            <w:r>
              <w:rPr>
                <w:rFonts w:hint="eastAsia" w:ascii="宋体" w:hAnsi="宋体"/>
              </w:rPr>
              <w:t>所出资企业（有关部门）</w:t>
            </w:r>
          </w:p>
        </w:tc>
        <w:tc>
          <w:tcPr>
            <w:tcW w:w="6660" w:type="dxa"/>
            <w:gridSpan w:val="10"/>
            <w:vAlign w:val="center"/>
          </w:tcPr>
          <w:p>
            <w:pPr>
              <w:spacing w:line="36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700" w:type="dxa"/>
            <w:vAlign w:val="center"/>
          </w:tcPr>
          <w:p>
            <w:pPr>
              <w:spacing w:line="360" w:lineRule="exact"/>
              <w:jc w:val="center"/>
              <w:rPr>
                <w:rFonts w:ascii="宋体" w:hAnsi="宋体"/>
              </w:rPr>
            </w:pPr>
            <w:r>
              <w:rPr>
                <w:rFonts w:hint="eastAsia" w:ascii="宋体" w:hAnsi="宋体"/>
              </w:rPr>
              <w:t>经济行为类型</w:t>
            </w:r>
          </w:p>
        </w:tc>
        <w:tc>
          <w:tcPr>
            <w:tcW w:w="6660" w:type="dxa"/>
            <w:gridSpan w:val="1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700" w:type="dxa"/>
            <w:vAlign w:val="center"/>
          </w:tcPr>
          <w:p>
            <w:pPr>
              <w:spacing w:line="360" w:lineRule="exact"/>
              <w:jc w:val="center"/>
              <w:rPr>
                <w:rFonts w:ascii="宋体" w:hAnsi="宋体"/>
              </w:rPr>
            </w:pPr>
            <w:r>
              <w:rPr>
                <w:rFonts w:hint="eastAsia" w:ascii="宋体" w:hAnsi="宋体"/>
              </w:rPr>
              <w:t>评估报告书编号</w:t>
            </w:r>
          </w:p>
        </w:tc>
        <w:tc>
          <w:tcPr>
            <w:tcW w:w="2787" w:type="dxa"/>
            <w:gridSpan w:val="4"/>
            <w:vAlign w:val="center"/>
          </w:tcPr>
          <w:p>
            <w:pPr>
              <w:spacing w:line="360" w:lineRule="exact"/>
              <w:ind w:firstLine="480"/>
              <w:rPr>
                <w:rFonts w:ascii="宋体" w:hAnsi="宋体"/>
              </w:rPr>
            </w:pPr>
          </w:p>
        </w:tc>
        <w:tc>
          <w:tcPr>
            <w:tcW w:w="2073" w:type="dxa"/>
            <w:gridSpan w:val="3"/>
            <w:vAlign w:val="center"/>
          </w:tcPr>
          <w:p>
            <w:pPr>
              <w:spacing w:line="360" w:lineRule="exact"/>
              <w:jc w:val="center"/>
              <w:rPr>
                <w:rFonts w:ascii="宋体" w:hAnsi="宋体"/>
              </w:rPr>
            </w:pPr>
            <w:r>
              <w:rPr>
                <w:rFonts w:hint="eastAsia" w:ascii="宋体" w:hAnsi="宋体"/>
              </w:rPr>
              <w:t>主要评估方法</w:t>
            </w:r>
          </w:p>
        </w:tc>
        <w:tc>
          <w:tcPr>
            <w:tcW w:w="1800" w:type="dxa"/>
            <w:gridSpan w:val="3"/>
            <w:vAlign w:val="center"/>
          </w:tcPr>
          <w:p>
            <w:pPr>
              <w:spacing w:line="36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700" w:type="dxa"/>
            <w:vAlign w:val="center"/>
          </w:tcPr>
          <w:p>
            <w:pPr>
              <w:spacing w:line="360" w:lineRule="exact"/>
              <w:jc w:val="center"/>
              <w:rPr>
                <w:rFonts w:ascii="宋体" w:hAnsi="宋体"/>
              </w:rPr>
            </w:pPr>
            <w:r>
              <w:rPr>
                <w:rFonts w:hint="eastAsia" w:ascii="宋体" w:hAnsi="宋体"/>
              </w:rPr>
              <w:t>评估机构名称</w:t>
            </w:r>
          </w:p>
        </w:tc>
        <w:tc>
          <w:tcPr>
            <w:tcW w:w="2787" w:type="dxa"/>
            <w:gridSpan w:val="4"/>
            <w:vAlign w:val="center"/>
          </w:tcPr>
          <w:p>
            <w:pPr>
              <w:spacing w:line="360" w:lineRule="exact"/>
              <w:ind w:firstLine="480"/>
              <w:jc w:val="center"/>
              <w:rPr>
                <w:rFonts w:ascii="宋体" w:hAnsi="宋体"/>
              </w:rPr>
            </w:pPr>
          </w:p>
        </w:tc>
        <w:tc>
          <w:tcPr>
            <w:tcW w:w="2073" w:type="dxa"/>
            <w:gridSpan w:val="3"/>
            <w:vAlign w:val="center"/>
          </w:tcPr>
          <w:p>
            <w:pPr>
              <w:spacing w:line="360" w:lineRule="exact"/>
              <w:jc w:val="center"/>
              <w:rPr>
                <w:rFonts w:ascii="宋体" w:hAnsi="宋体"/>
              </w:rPr>
            </w:pPr>
            <w:r>
              <w:rPr>
                <w:rFonts w:hint="eastAsia" w:ascii="宋体" w:hAnsi="宋体"/>
              </w:rPr>
              <w:t>资质证书编号</w:t>
            </w:r>
          </w:p>
        </w:tc>
        <w:tc>
          <w:tcPr>
            <w:tcW w:w="1800" w:type="dxa"/>
            <w:gridSpan w:val="3"/>
            <w:vAlign w:val="center"/>
          </w:tcPr>
          <w:p>
            <w:pPr>
              <w:spacing w:line="36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700" w:type="dxa"/>
            <w:vAlign w:val="center"/>
          </w:tcPr>
          <w:p>
            <w:pPr>
              <w:spacing w:line="360" w:lineRule="exact"/>
              <w:jc w:val="center"/>
              <w:rPr>
                <w:rFonts w:ascii="宋体" w:hAnsi="宋体"/>
              </w:rPr>
            </w:pPr>
            <w:r>
              <w:rPr>
                <w:rFonts w:hint="eastAsia" w:ascii="宋体" w:hAnsi="宋体"/>
              </w:rPr>
              <w:t>注册评估师姓名</w:t>
            </w:r>
          </w:p>
        </w:tc>
        <w:tc>
          <w:tcPr>
            <w:tcW w:w="1110" w:type="dxa"/>
            <w:gridSpan w:val="2"/>
            <w:vAlign w:val="center"/>
          </w:tcPr>
          <w:p>
            <w:pPr>
              <w:spacing w:line="360" w:lineRule="exact"/>
              <w:ind w:firstLine="480"/>
              <w:jc w:val="center"/>
              <w:rPr>
                <w:rFonts w:ascii="宋体" w:hAnsi="宋体"/>
              </w:rPr>
            </w:pPr>
          </w:p>
        </w:tc>
        <w:tc>
          <w:tcPr>
            <w:tcW w:w="1677" w:type="dxa"/>
            <w:gridSpan w:val="2"/>
            <w:vAlign w:val="center"/>
          </w:tcPr>
          <w:p>
            <w:pPr>
              <w:spacing w:line="360" w:lineRule="exact"/>
              <w:ind w:firstLine="480"/>
              <w:jc w:val="center"/>
              <w:rPr>
                <w:rFonts w:ascii="宋体" w:hAnsi="宋体"/>
              </w:rPr>
            </w:pPr>
          </w:p>
        </w:tc>
        <w:tc>
          <w:tcPr>
            <w:tcW w:w="2073" w:type="dxa"/>
            <w:gridSpan w:val="3"/>
            <w:vAlign w:val="center"/>
          </w:tcPr>
          <w:p>
            <w:pPr>
              <w:spacing w:line="360" w:lineRule="exact"/>
              <w:jc w:val="center"/>
              <w:rPr>
                <w:rFonts w:ascii="宋体" w:hAnsi="宋体"/>
              </w:rPr>
            </w:pPr>
            <w:r>
              <w:rPr>
                <w:rFonts w:hint="eastAsia" w:ascii="宋体" w:hAnsi="宋体"/>
              </w:rPr>
              <w:t>注册评估师编号</w:t>
            </w:r>
          </w:p>
        </w:tc>
        <w:tc>
          <w:tcPr>
            <w:tcW w:w="900" w:type="dxa"/>
            <w:gridSpan w:val="2"/>
            <w:vAlign w:val="center"/>
          </w:tcPr>
          <w:p>
            <w:pPr>
              <w:spacing w:line="360" w:lineRule="exact"/>
              <w:ind w:firstLine="480"/>
              <w:rPr>
                <w:rFonts w:ascii="宋体" w:hAnsi="宋体"/>
              </w:rPr>
            </w:pPr>
          </w:p>
        </w:tc>
        <w:tc>
          <w:tcPr>
            <w:tcW w:w="900" w:type="dxa"/>
            <w:vAlign w:val="center"/>
          </w:tcPr>
          <w:p>
            <w:pPr>
              <w:spacing w:line="36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700" w:type="dxa"/>
            <w:vAlign w:val="center"/>
          </w:tcPr>
          <w:p>
            <w:pPr>
              <w:spacing w:line="360" w:lineRule="exact"/>
              <w:jc w:val="center"/>
              <w:rPr>
                <w:rFonts w:ascii="宋体" w:hAnsi="宋体"/>
              </w:rPr>
            </w:pPr>
            <w:r>
              <w:rPr>
                <w:rFonts w:hint="eastAsia" w:ascii="宋体" w:hAnsi="宋体"/>
              </w:rPr>
              <w:t>接受非国有资产的企业联系人</w:t>
            </w:r>
          </w:p>
        </w:tc>
        <w:tc>
          <w:tcPr>
            <w:tcW w:w="1110" w:type="dxa"/>
            <w:gridSpan w:val="2"/>
            <w:vAlign w:val="center"/>
          </w:tcPr>
          <w:p>
            <w:pPr>
              <w:spacing w:line="360" w:lineRule="exact"/>
              <w:ind w:firstLine="480"/>
              <w:jc w:val="center"/>
              <w:rPr>
                <w:rFonts w:ascii="宋体" w:hAnsi="宋体"/>
              </w:rPr>
            </w:pPr>
          </w:p>
        </w:tc>
        <w:tc>
          <w:tcPr>
            <w:tcW w:w="870" w:type="dxa"/>
            <w:vAlign w:val="center"/>
          </w:tcPr>
          <w:p>
            <w:pPr>
              <w:spacing w:line="360" w:lineRule="exact"/>
              <w:jc w:val="center"/>
              <w:rPr>
                <w:rFonts w:ascii="宋体" w:hAnsi="宋体"/>
              </w:rPr>
            </w:pPr>
            <w:r>
              <w:rPr>
                <w:rFonts w:hint="eastAsia" w:ascii="宋体" w:hAnsi="宋体"/>
              </w:rPr>
              <w:t>电  话</w:t>
            </w:r>
          </w:p>
        </w:tc>
        <w:tc>
          <w:tcPr>
            <w:tcW w:w="1620" w:type="dxa"/>
            <w:gridSpan w:val="2"/>
            <w:vAlign w:val="center"/>
          </w:tcPr>
          <w:p>
            <w:pPr>
              <w:spacing w:line="360" w:lineRule="exact"/>
              <w:ind w:firstLine="480"/>
              <w:jc w:val="center"/>
              <w:rPr>
                <w:rFonts w:ascii="宋体" w:hAnsi="宋体"/>
              </w:rPr>
            </w:pPr>
          </w:p>
        </w:tc>
        <w:tc>
          <w:tcPr>
            <w:tcW w:w="1260" w:type="dxa"/>
            <w:gridSpan w:val="2"/>
            <w:vAlign w:val="center"/>
          </w:tcPr>
          <w:p>
            <w:pPr>
              <w:spacing w:line="360" w:lineRule="exact"/>
              <w:jc w:val="center"/>
              <w:rPr>
                <w:rFonts w:ascii="宋体" w:hAnsi="宋体"/>
              </w:rPr>
            </w:pPr>
            <w:r>
              <w:rPr>
                <w:rFonts w:hint="eastAsia" w:ascii="宋体" w:hAnsi="宋体"/>
              </w:rPr>
              <w:t>通  讯</w:t>
            </w:r>
          </w:p>
          <w:p>
            <w:pPr>
              <w:spacing w:line="360" w:lineRule="exact"/>
              <w:jc w:val="center"/>
              <w:rPr>
                <w:rFonts w:ascii="宋体" w:hAnsi="宋体"/>
              </w:rPr>
            </w:pPr>
            <w:r>
              <w:rPr>
                <w:rFonts w:hint="eastAsia" w:ascii="宋体" w:hAnsi="宋体"/>
              </w:rPr>
              <w:t>地  址</w:t>
            </w:r>
          </w:p>
        </w:tc>
        <w:tc>
          <w:tcPr>
            <w:tcW w:w="1800" w:type="dxa"/>
            <w:gridSpan w:val="3"/>
            <w:vAlign w:val="center"/>
          </w:tcPr>
          <w:p>
            <w:pPr>
              <w:spacing w:line="36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700" w:type="dxa"/>
            <w:vAlign w:val="center"/>
          </w:tcPr>
          <w:p>
            <w:pPr>
              <w:spacing w:line="360" w:lineRule="exact"/>
              <w:jc w:val="center"/>
              <w:rPr>
                <w:rFonts w:ascii="宋体" w:hAnsi="宋体"/>
              </w:rPr>
            </w:pPr>
            <w:r>
              <w:rPr>
                <w:rFonts w:hint="eastAsia" w:ascii="宋体" w:hAnsi="宋体"/>
              </w:rPr>
              <w:t>所出资企业（有关部门）联系人</w:t>
            </w:r>
          </w:p>
        </w:tc>
        <w:tc>
          <w:tcPr>
            <w:tcW w:w="1110" w:type="dxa"/>
            <w:gridSpan w:val="2"/>
            <w:vAlign w:val="center"/>
          </w:tcPr>
          <w:p>
            <w:pPr>
              <w:spacing w:line="360" w:lineRule="exact"/>
              <w:ind w:firstLine="480"/>
              <w:jc w:val="center"/>
              <w:rPr>
                <w:rFonts w:ascii="宋体" w:hAnsi="宋体"/>
              </w:rPr>
            </w:pPr>
          </w:p>
        </w:tc>
        <w:tc>
          <w:tcPr>
            <w:tcW w:w="870" w:type="dxa"/>
            <w:vAlign w:val="center"/>
          </w:tcPr>
          <w:p>
            <w:pPr>
              <w:spacing w:line="360" w:lineRule="exact"/>
              <w:jc w:val="center"/>
              <w:rPr>
                <w:rFonts w:ascii="宋体" w:hAnsi="宋体"/>
              </w:rPr>
            </w:pPr>
            <w:r>
              <w:rPr>
                <w:rFonts w:hint="eastAsia" w:ascii="宋体" w:hAnsi="宋体"/>
              </w:rPr>
              <w:t>电  话</w:t>
            </w:r>
          </w:p>
        </w:tc>
        <w:tc>
          <w:tcPr>
            <w:tcW w:w="1620" w:type="dxa"/>
            <w:gridSpan w:val="2"/>
            <w:vAlign w:val="center"/>
          </w:tcPr>
          <w:p>
            <w:pPr>
              <w:spacing w:line="360" w:lineRule="exact"/>
              <w:ind w:firstLine="480"/>
              <w:jc w:val="center"/>
              <w:rPr>
                <w:rFonts w:ascii="宋体" w:hAnsi="宋体"/>
              </w:rPr>
            </w:pPr>
          </w:p>
        </w:tc>
        <w:tc>
          <w:tcPr>
            <w:tcW w:w="1260" w:type="dxa"/>
            <w:gridSpan w:val="2"/>
            <w:vAlign w:val="center"/>
          </w:tcPr>
          <w:p>
            <w:pPr>
              <w:spacing w:line="360" w:lineRule="exact"/>
              <w:jc w:val="center"/>
              <w:rPr>
                <w:rFonts w:ascii="宋体" w:hAnsi="宋体"/>
              </w:rPr>
            </w:pPr>
            <w:r>
              <w:rPr>
                <w:rFonts w:hint="eastAsia" w:ascii="宋体" w:hAnsi="宋体"/>
              </w:rPr>
              <w:t>通  讯</w:t>
            </w:r>
          </w:p>
          <w:p>
            <w:pPr>
              <w:spacing w:line="360" w:lineRule="exact"/>
              <w:jc w:val="center"/>
              <w:rPr>
                <w:rFonts w:ascii="宋体" w:hAnsi="宋体"/>
              </w:rPr>
            </w:pPr>
            <w:r>
              <w:rPr>
                <w:rFonts w:hint="eastAsia" w:ascii="宋体" w:hAnsi="宋体"/>
              </w:rPr>
              <w:t>地  址</w:t>
            </w:r>
          </w:p>
        </w:tc>
        <w:tc>
          <w:tcPr>
            <w:tcW w:w="1800" w:type="dxa"/>
            <w:gridSpan w:val="3"/>
            <w:vAlign w:val="center"/>
          </w:tcPr>
          <w:p>
            <w:pPr>
              <w:spacing w:line="360" w:lineRule="exact"/>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6" w:hRule="atLeast"/>
        </w:trPr>
        <w:tc>
          <w:tcPr>
            <w:tcW w:w="3060" w:type="dxa"/>
            <w:gridSpan w:val="2"/>
            <w:vAlign w:val="center"/>
          </w:tcPr>
          <w:p>
            <w:pPr>
              <w:spacing w:line="320" w:lineRule="exact"/>
              <w:jc w:val="center"/>
              <w:rPr>
                <w:rFonts w:ascii="宋体" w:hAnsi="宋体"/>
              </w:rPr>
            </w:pPr>
            <w:r>
              <w:rPr>
                <w:rFonts w:hint="eastAsia" w:ascii="宋体" w:hAnsi="宋体"/>
              </w:rPr>
              <w:t>申报备案</w:t>
            </w:r>
          </w:p>
          <w:p>
            <w:pPr>
              <w:spacing w:line="320" w:lineRule="exact"/>
              <w:ind w:firstLine="480"/>
              <w:jc w:val="center"/>
              <w:rPr>
                <w:rFonts w:ascii="宋体" w:hAnsi="宋体"/>
              </w:rPr>
            </w:pPr>
          </w:p>
          <w:p>
            <w:pPr>
              <w:spacing w:line="320" w:lineRule="exact"/>
              <w:ind w:firstLine="480"/>
              <w:jc w:val="center"/>
              <w:rPr>
                <w:rFonts w:ascii="宋体" w:hAnsi="宋体"/>
              </w:rPr>
            </w:pPr>
          </w:p>
          <w:p>
            <w:pPr>
              <w:spacing w:line="320" w:lineRule="exact"/>
              <w:jc w:val="center"/>
              <w:rPr>
                <w:rFonts w:ascii="宋体" w:hAnsi="宋体"/>
              </w:rPr>
            </w:pPr>
            <w:r>
              <w:rPr>
                <w:rFonts w:hint="eastAsia" w:ascii="宋体" w:hAnsi="宋体"/>
              </w:rPr>
              <w:t>接受非国有资产的企业盖章</w:t>
            </w:r>
          </w:p>
          <w:p>
            <w:pPr>
              <w:spacing w:line="320" w:lineRule="exact"/>
              <w:ind w:firstLine="480"/>
              <w:jc w:val="center"/>
              <w:rPr>
                <w:rFonts w:ascii="宋体" w:hAnsi="宋体"/>
              </w:rPr>
            </w:pPr>
          </w:p>
          <w:p>
            <w:pPr>
              <w:spacing w:line="320" w:lineRule="exact"/>
              <w:rPr>
                <w:rFonts w:ascii="宋体" w:hAnsi="宋体"/>
              </w:rPr>
            </w:pPr>
            <w:r>
              <w:rPr>
                <w:rFonts w:hint="eastAsia" w:ascii="宋体" w:hAnsi="宋体"/>
              </w:rPr>
              <w:t>法定代表人签字：</w:t>
            </w:r>
          </w:p>
          <w:p>
            <w:pPr>
              <w:spacing w:line="320" w:lineRule="exact"/>
              <w:ind w:firstLine="480"/>
              <w:rPr>
                <w:rFonts w:ascii="宋体" w:hAnsi="宋体"/>
              </w:rPr>
            </w:pPr>
          </w:p>
          <w:p>
            <w:pPr>
              <w:spacing w:line="320" w:lineRule="exact"/>
              <w:ind w:firstLine="480"/>
              <w:jc w:val="center"/>
              <w:rPr>
                <w:rFonts w:ascii="宋体" w:hAnsi="宋体"/>
              </w:rPr>
            </w:pPr>
            <w:r>
              <w:rPr>
                <w:rFonts w:hint="eastAsia" w:ascii="宋体" w:hAnsi="宋体"/>
              </w:rPr>
              <w:t>年  月  日</w:t>
            </w:r>
          </w:p>
        </w:tc>
        <w:tc>
          <w:tcPr>
            <w:tcW w:w="3240" w:type="dxa"/>
            <w:gridSpan w:val="4"/>
            <w:vAlign w:val="center"/>
          </w:tcPr>
          <w:p>
            <w:pPr>
              <w:spacing w:line="320" w:lineRule="exact"/>
              <w:jc w:val="center"/>
              <w:rPr>
                <w:rFonts w:ascii="宋体" w:hAnsi="宋体"/>
              </w:rPr>
            </w:pPr>
            <w:r>
              <w:rPr>
                <w:rFonts w:hint="eastAsia" w:ascii="宋体" w:hAnsi="宋体"/>
              </w:rPr>
              <w:t>同意转报备案</w:t>
            </w:r>
          </w:p>
          <w:p>
            <w:pPr>
              <w:spacing w:line="320" w:lineRule="exact"/>
              <w:ind w:firstLine="480"/>
              <w:jc w:val="center"/>
              <w:rPr>
                <w:rFonts w:ascii="宋体" w:hAnsi="宋体"/>
              </w:rPr>
            </w:pPr>
          </w:p>
          <w:p>
            <w:pPr>
              <w:spacing w:line="320" w:lineRule="exact"/>
              <w:ind w:firstLine="480"/>
              <w:jc w:val="center"/>
              <w:rPr>
                <w:rFonts w:ascii="宋体" w:hAnsi="宋体"/>
              </w:rPr>
            </w:pPr>
          </w:p>
          <w:p>
            <w:pPr>
              <w:spacing w:line="320" w:lineRule="exact"/>
              <w:jc w:val="center"/>
              <w:rPr>
                <w:rFonts w:ascii="宋体" w:hAnsi="宋体"/>
              </w:rPr>
            </w:pPr>
            <w:r>
              <w:rPr>
                <w:rFonts w:hint="eastAsia" w:ascii="宋体" w:hAnsi="宋体"/>
              </w:rPr>
              <w:t>上级单位盖章</w:t>
            </w:r>
          </w:p>
          <w:p>
            <w:pPr>
              <w:spacing w:line="320" w:lineRule="exact"/>
              <w:ind w:firstLine="480"/>
              <w:jc w:val="center"/>
              <w:rPr>
                <w:rFonts w:ascii="宋体" w:hAnsi="宋体"/>
              </w:rPr>
            </w:pPr>
          </w:p>
          <w:p>
            <w:pPr>
              <w:spacing w:line="320" w:lineRule="exact"/>
              <w:ind w:firstLine="480"/>
              <w:jc w:val="center"/>
              <w:rPr>
                <w:rFonts w:ascii="宋体" w:hAnsi="宋体"/>
              </w:rPr>
            </w:pPr>
          </w:p>
          <w:p>
            <w:pPr>
              <w:spacing w:line="320" w:lineRule="exact"/>
              <w:rPr>
                <w:rFonts w:ascii="宋体" w:hAnsi="宋体"/>
              </w:rPr>
            </w:pPr>
            <w:r>
              <w:rPr>
                <w:rFonts w:hint="eastAsia" w:ascii="宋体" w:hAnsi="宋体"/>
              </w:rPr>
              <w:t>单位领导签字：</w:t>
            </w:r>
          </w:p>
          <w:p>
            <w:pPr>
              <w:spacing w:line="320" w:lineRule="exact"/>
              <w:ind w:firstLine="480"/>
              <w:rPr>
                <w:rFonts w:ascii="宋体" w:hAnsi="宋体"/>
              </w:rPr>
            </w:pPr>
          </w:p>
          <w:p>
            <w:pPr>
              <w:spacing w:line="320" w:lineRule="exact"/>
              <w:ind w:firstLine="480"/>
              <w:jc w:val="center"/>
              <w:rPr>
                <w:rFonts w:ascii="宋体" w:hAnsi="宋体"/>
              </w:rPr>
            </w:pPr>
            <w:r>
              <w:rPr>
                <w:rFonts w:hint="eastAsia" w:ascii="宋体" w:hAnsi="宋体"/>
              </w:rPr>
              <w:t>年  月  日</w:t>
            </w:r>
          </w:p>
        </w:tc>
        <w:tc>
          <w:tcPr>
            <w:tcW w:w="3060" w:type="dxa"/>
            <w:gridSpan w:val="5"/>
            <w:vAlign w:val="center"/>
          </w:tcPr>
          <w:p>
            <w:pPr>
              <w:spacing w:line="320" w:lineRule="exact"/>
              <w:jc w:val="center"/>
              <w:rPr>
                <w:rFonts w:ascii="宋体" w:hAnsi="宋体"/>
              </w:rPr>
            </w:pPr>
            <w:r>
              <w:rPr>
                <w:rFonts w:hint="eastAsia" w:ascii="宋体" w:hAnsi="宋体"/>
              </w:rPr>
              <w:t>备      案</w:t>
            </w:r>
          </w:p>
          <w:p>
            <w:pPr>
              <w:spacing w:line="320" w:lineRule="exact"/>
              <w:ind w:firstLine="480"/>
              <w:jc w:val="center"/>
              <w:rPr>
                <w:rFonts w:ascii="宋体" w:hAnsi="宋体"/>
              </w:rPr>
            </w:pPr>
          </w:p>
          <w:p>
            <w:pPr>
              <w:spacing w:line="320" w:lineRule="exact"/>
              <w:jc w:val="center"/>
              <w:rPr>
                <w:rFonts w:ascii="宋体" w:hAnsi="宋体"/>
              </w:rPr>
            </w:pPr>
            <w:r>
              <w:rPr>
                <w:rFonts w:hint="eastAsia" w:ascii="宋体" w:hAnsi="宋体"/>
              </w:rPr>
              <w:t>国有资产监督管理机构</w:t>
            </w:r>
          </w:p>
          <w:p>
            <w:pPr>
              <w:spacing w:line="320" w:lineRule="exact"/>
              <w:ind w:firstLine="480"/>
              <w:rPr>
                <w:rFonts w:ascii="宋体" w:hAnsi="宋体"/>
              </w:rPr>
            </w:pPr>
          </w:p>
          <w:p>
            <w:pPr>
              <w:spacing w:line="320" w:lineRule="exact"/>
              <w:ind w:firstLine="480"/>
              <w:rPr>
                <w:rFonts w:ascii="宋体" w:hAnsi="宋体"/>
              </w:rPr>
            </w:pPr>
          </w:p>
          <w:p>
            <w:pPr>
              <w:spacing w:line="320" w:lineRule="exact"/>
              <w:ind w:firstLine="480"/>
              <w:rPr>
                <w:rFonts w:ascii="宋体" w:hAnsi="宋体"/>
              </w:rPr>
            </w:pPr>
          </w:p>
          <w:p>
            <w:pPr>
              <w:spacing w:line="320" w:lineRule="exact"/>
              <w:ind w:firstLine="480"/>
              <w:rPr>
                <w:rFonts w:ascii="宋体" w:hAnsi="宋体"/>
              </w:rPr>
            </w:pPr>
          </w:p>
          <w:p>
            <w:pPr>
              <w:spacing w:line="320" w:lineRule="exact"/>
              <w:ind w:firstLine="480"/>
              <w:jc w:val="center"/>
              <w:rPr>
                <w:rFonts w:ascii="宋体" w:hAnsi="宋体"/>
              </w:rPr>
            </w:pPr>
            <w:r>
              <w:rPr>
                <w:rFonts w:hint="eastAsia" w:ascii="宋体" w:hAnsi="宋体"/>
              </w:rPr>
              <w:t>年  月  日</w:t>
            </w:r>
          </w:p>
        </w:tc>
      </w:tr>
    </w:tbl>
    <w:p>
      <w:pPr>
        <w:ind w:firstLine="480"/>
        <w:jc w:val="center"/>
        <w:rPr>
          <w:rFonts w:ascii="宋体" w:hAnsi="宋体"/>
          <w:spacing w:val="30"/>
          <w:sz w:val="44"/>
          <w:szCs w:val="44"/>
        </w:rPr>
      </w:pPr>
      <w:r>
        <w:rPr>
          <w:rFonts w:hint="eastAsia"/>
        </w:rPr>
        <w:br w:type="page"/>
      </w:r>
      <w:r>
        <w:rPr>
          <w:rFonts w:hint="eastAsia" w:ascii="方正小标宋简体" w:hAnsi="方正小标宋简体" w:eastAsia="方正小标宋简体"/>
          <w:spacing w:val="30"/>
          <w:sz w:val="44"/>
          <w:szCs w:val="44"/>
        </w:rPr>
        <w:t>资产评估结果</w:t>
      </w:r>
    </w:p>
    <w:p>
      <w:pPr>
        <w:spacing w:line="320" w:lineRule="exact"/>
        <w:rPr>
          <w:rFonts w:hint="eastAsia" w:ascii="宋体" w:hAnsi="宋体"/>
          <w:spacing w:val="20"/>
        </w:rPr>
      </w:pPr>
    </w:p>
    <w:p>
      <w:pPr>
        <w:spacing w:line="320" w:lineRule="exact"/>
        <w:rPr>
          <w:rFonts w:ascii="宋体" w:hAnsi="宋体"/>
          <w:spacing w:val="20"/>
        </w:rPr>
      </w:pPr>
      <w:r>
        <w:rPr>
          <w:rFonts w:hint="eastAsia" w:ascii="宋体" w:hAnsi="宋体"/>
          <w:spacing w:val="20"/>
        </w:rPr>
        <w:t>评　估　基　准　日：　   年  月  日</w:t>
      </w:r>
    </w:p>
    <w:p>
      <w:pPr>
        <w:spacing w:line="320" w:lineRule="exact"/>
        <w:rPr>
          <w:rFonts w:ascii="宋体" w:hAnsi="宋体"/>
          <w:spacing w:val="20"/>
        </w:rPr>
      </w:pPr>
      <w:r>
        <w:rPr>
          <w:rFonts w:hint="eastAsia" w:ascii="宋体" w:hAnsi="宋体"/>
          <w:spacing w:val="20"/>
        </w:rPr>
        <w:t>评估结果使用有效期至：   年  月  日         金额单位：人民币万元</w:t>
      </w:r>
    </w:p>
    <w:tbl>
      <w:tblPr>
        <w:tblStyle w:val="7"/>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1622"/>
        <w:gridCol w:w="1721"/>
        <w:gridCol w:w="155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center"/>
              <w:rPr>
                <w:rFonts w:ascii="仿宋_GB2312" w:hAnsi="仿宋_GB2312" w:eastAsia="仿宋_GB2312"/>
                <w:sz w:val="28"/>
              </w:rPr>
            </w:pPr>
            <w:r>
              <w:rPr>
                <w:rFonts w:hint="eastAsia" w:ascii="仿宋_GB2312" w:hAnsi="仿宋_GB2312" w:eastAsia="仿宋_GB2312"/>
                <w:sz w:val="28"/>
              </w:rPr>
              <w:t>项  目</w:t>
            </w:r>
          </w:p>
        </w:tc>
        <w:tc>
          <w:tcPr>
            <w:tcW w:w="1622" w:type="dxa"/>
            <w:vAlign w:val="center"/>
          </w:tcPr>
          <w:p>
            <w:pPr>
              <w:spacing w:line="320" w:lineRule="exact"/>
              <w:jc w:val="center"/>
              <w:rPr>
                <w:rFonts w:ascii="仿宋_GB2312" w:hAnsi="仿宋_GB2312" w:eastAsia="仿宋_GB2312"/>
                <w:sz w:val="28"/>
              </w:rPr>
            </w:pPr>
            <w:r>
              <w:rPr>
                <w:rFonts w:hint="eastAsia" w:ascii="仿宋_GB2312" w:hAnsi="仿宋_GB2312" w:eastAsia="仿宋_GB2312"/>
                <w:sz w:val="28"/>
              </w:rPr>
              <w:t>账面价值</w:t>
            </w:r>
          </w:p>
        </w:tc>
        <w:tc>
          <w:tcPr>
            <w:tcW w:w="1721" w:type="dxa"/>
            <w:vAlign w:val="center"/>
          </w:tcPr>
          <w:p>
            <w:pPr>
              <w:spacing w:line="320" w:lineRule="exact"/>
              <w:jc w:val="center"/>
              <w:rPr>
                <w:rFonts w:ascii="仿宋_GB2312" w:hAnsi="仿宋_GB2312" w:eastAsia="仿宋_GB2312"/>
                <w:sz w:val="28"/>
              </w:rPr>
            </w:pPr>
            <w:r>
              <w:rPr>
                <w:rFonts w:hint="eastAsia" w:ascii="仿宋_GB2312" w:hAnsi="仿宋_GB2312" w:eastAsia="仿宋_GB2312"/>
                <w:sz w:val="28"/>
              </w:rPr>
              <w:t>评估价值</w:t>
            </w:r>
          </w:p>
        </w:tc>
        <w:tc>
          <w:tcPr>
            <w:tcW w:w="1559" w:type="dxa"/>
            <w:vAlign w:val="center"/>
          </w:tcPr>
          <w:p>
            <w:pPr>
              <w:spacing w:line="320" w:lineRule="exact"/>
              <w:jc w:val="center"/>
              <w:rPr>
                <w:rFonts w:ascii="仿宋_GB2312" w:hAnsi="仿宋_GB2312" w:eastAsia="仿宋_GB2312"/>
                <w:sz w:val="28"/>
              </w:rPr>
            </w:pPr>
            <w:r>
              <w:rPr>
                <w:rFonts w:hint="eastAsia" w:ascii="仿宋_GB2312" w:hAnsi="仿宋_GB2312" w:eastAsia="仿宋_GB2312"/>
                <w:sz w:val="28"/>
              </w:rPr>
              <w:t>增减值</w:t>
            </w:r>
          </w:p>
        </w:tc>
        <w:tc>
          <w:tcPr>
            <w:tcW w:w="1260" w:type="dxa"/>
            <w:vAlign w:val="center"/>
          </w:tcPr>
          <w:p>
            <w:pPr>
              <w:spacing w:line="320" w:lineRule="exact"/>
              <w:jc w:val="center"/>
              <w:rPr>
                <w:rFonts w:ascii="仿宋_GB2312" w:hAnsi="仿宋_GB2312" w:eastAsia="仿宋_GB2312"/>
                <w:sz w:val="28"/>
              </w:rPr>
            </w:pPr>
            <w:r>
              <w:rPr>
                <w:rFonts w:hint="eastAsia" w:ascii="仿宋_GB2312" w:hAnsi="仿宋_GB2312" w:eastAsia="仿宋_GB2312"/>
                <w:sz w:val="28"/>
              </w:rPr>
              <w:t>增减率</w:t>
            </w:r>
          </w:p>
          <w:p>
            <w:pPr>
              <w:spacing w:line="320" w:lineRule="exact"/>
              <w:jc w:val="center"/>
              <w:rPr>
                <w:rFonts w:ascii="仿宋_GB2312" w:hAnsi="仿宋_GB2312" w:eastAsia="仿宋_GB2312"/>
                <w:sz w:val="28"/>
              </w:rPr>
            </w:pPr>
            <w:r>
              <w:rPr>
                <w:rFonts w:hint="eastAsia" w:ascii="仿宋_GB2312" w:hAnsi="仿宋_GB2312"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left"/>
              <w:rPr>
                <w:rFonts w:ascii="宋体" w:hAnsi="宋体"/>
                <w:sz w:val="24"/>
              </w:rPr>
            </w:pPr>
            <w:r>
              <w:rPr>
                <w:rFonts w:hint="eastAsia" w:ascii="宋体" w:hAnsi="宋体"/>
                <w:sz w:val="24"/>
              </w:rPr>
              <w:t>流动资产</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left"/>
              <w:rPr>
                <w:rFonts w:ascii="宋体" w:hAnsi="宋体"/>
                <w:sz w:val="24"/>
              </w:rPr>
            </w:pPr>
            <w:r>
              <w:rPr>
                <w:rFonts w:hint="eastAsia" w:ascii="宋体" w:hAnsi="宋体"/>
                <w:sz w:val="24"/>
              </w:rPr>
              <w:t>非流动资产</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left"/>
              <w:rPr>
                <w:rFonts w:ascii="宋体" w:hAnsi="宋体"/>
                <w:sz w:val="24"/>
              </w:rPr>
            </w:pPr>
            <w:r>
              <w:rPr>
                <w:rFonts w:hint="eastAsia" w:ascii="宋体" w:hAnsi="宋体"/>
                <w:sz w:val="24"/>
              </w:rPr>
              <w:t>其中:长期</w:t>
            </w:r>
            <w:r>
              <w:rPr>
                <w:rFonts w:ascii="宋体" w:hAnsi="宋体"/>
                <w:sz w:val="24"/>
              </w:rPr>
              <w:t>股权投资</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ind w:firstLine="600" w:firstLineChars="250"/>
              <w:jc w:val="left"/>
              <w:rPr>
                <w:rFonts w:ascii="宋体" w:hAnsi="宋体"/>
                <w:sz w:val="24"/>
              </w:rPr>
            </w:pPr>
            <w:r>
              <w:rPr>
                <w:rFonts w:hint="eastAsia" w:ascii="宋体" w:hAnsi="宋体"/>
                <w:sz w:val="24"/>
              </w:rPr>
              <w:t>投资性</w:t>
            </w:r>
            <w:r>
              <w:rPr>
                <w:rFonts w:ascii="宋体" w:hAnsi="宋体"/>
                <w:sz w:val="24"/>
              </w:rPr>
              <w:t>房地产</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left"/>
              <w:rPr>
                <w:rFonts w:ascii="宋体" w:hAnsi="宋体"/>
                <w:sz w:val="24"/>
              </w:rPr>
            </w:pPr>
            <w:r>
              <w:rPr>
                <w:rFonts w:hint="eastAsia" w:ascii="宋体" w:hAnsi="宋体"/>
                <w:sz w:val="24"/>
              </w:rPr>
              <w:t xml:space="preserve">     固定</w:t>
            </w:r>
            <w:r>
              <w:rPr>
                <w:rFonts w:ascii="宋体" w:hAnsi="宋体"/>
                <w:sz w:val="24"/>
              </w:rPr>
              <w:t>资产</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ind w:firstLine="480"/>
              <w:jc w:val="left"/>
              <w:rPr>
                <w:rFonts w:ascii="宋体" w:hAnsi="宋体"/>
                <w:sz w:val="24"/>
              </w:rPr>
            </w:pPr>
            <w:r>
              <w:rPr>
                <w:rFonts w:hint="eastAsia" w:ascii="宋体" w:hAnsi="宋体"/>
                <w:sz w:val="24"/>
              </w:rPr>
              <w:t xml:space="preserve"> 在建工程</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rPr>
                <w:rFonts w:ascii="宋体" w:hAnsi="宋体"/>
                <w:sz w:val="24"/>
              </w:rPr>
            </w:pPr>
            <w:r>
              <w:rPr>
                <w:rFonts w:hint="eastAsia" w:ascii="宋体" w:hAnsi="宋体"/>
                <w:b/>
                <w:sz w:val="24"/>
              </w:rPr>
              <w:t xml:space="preserve">     </w:t>
            </w:r>
            <w:r>
              <w:rPr>
                <w:rFonts w:hint="eastAsia" w:ascii="宋体" w:hAnsi="宋体"/>
                <w:sz w:val="24"/>
              </w:rPr>
              <w:t>无形资产</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ind w:left="315" w:leftChars="150" w:firstLine="480"/>
              <w:rPr>
                <w:rFonts w:ascii="宋体" w:hAnsi="宋体"/>
                <w:b/>
                <w:sz w:val="24"/>
              </w:rPr>
            </w:pPr>
            <w:r>
              <w:rPr>
                <w:rFonts w:hint="eastAsia" w:ascii="宋体" w:hAnsi="宋体"/>
                <w:sz w:val="24"/>
              </w:rPr>
              <w:t>其中</w:t>
            </w:r>
            <w:r>
              <w:rPr>
                <w:rFonts w:ascii="宋体" w:hAnsi="宋体"/>
                <w:sz w:val="24"/>
              </w:rPr>
              <w:t>：无形资产—</w:t>
            </w:r>
            <w:r>
              <w:rPr>
                <w:rFonts w:hint="eastAsia" w:ascii="宋体" w:hAnsi="宋体"/>
                <w:sz w:val="24"/>
              </w:rPr>
              <w:t>土地使用权</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rPr>
                <w:rFonts w:ascii="宋体" w:hAnsi="宋体"/>
                <w:sz w:val="24"/>
              </w:rPr>
            </w:pPr>
            <w:r>
              <w:rPr>
                <w:rFonts w:hint="eastAsia" w:ascii="宋体" w:hAnsi="宋体"/>
                <w:sz w:val="24"/>
              </w:rPr>
              <w:t xml:space="preserve">    其他</w:t>
            </w:r>
            <w:r>
              <w:rPr>
                <w:rFonts w:ascii="宋体" w:hAnsi="宋体"/>
                <w:sz w:val="24"/>
              </w:rPr>
              <w:t>非流动资产</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center"/>
              <w:rPr>
                <w:rFonts w:ascii="宋体" w:hAnsi="宋体"/>
                <w:b/>
                <w:sz w:val="24"/>
              </w:rPr>
            </w:pPr>
            <w:r>
              <w:rPr>
                <w:rFonts w:hint="eastAsia" w:ascii="宋体" w:hAnsi="宋体"/>
                <w:sz w:val="24"/>
              </w:rPr>
              <w:t xml:space="preserve">  </w:t>
            </w:r>
            <w:r>
              <w:rPr>
                <w:rFonts w:hint="eastAsia" w:ascii="宋体" w:hAnsi="宋体"/>
                <w:b/>
                <w:sz w:val="24"/>
              </w:rPr>
              <w:t>资产总计</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rPr>
                <w:rFonts w:ascii="宋体" w:hAnsi="宋体"/>
                <w:sz w:val="24"/>
              </w:rPr>
            </w:pPr>
            <w:r>
              <w:rPr>
                <w:rFonts w:hint="eastAsia" w:ascii="宋体" w:hAnsi="宋体"/>
                <w:sz w:val="24"/>
              </w:rPr>
              <w:t>流动负债</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rPr>
                <w:rFonts w:ascii="宋体" w:hAnsi="宋体"/>
                <w:sz w:val="24"/>
              </w:rPr>
            </w:pPr>
            <w:r>
              <w:rPr>
                <w:rFonts w:hint="eastAsia" w:ascii="宋体" w:hAnsi="宋体"/>
                <w:sz w:val="24"/>
              </w:rPr>
              <w:t>长期负债</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center"/>
              <w:rPr>
                <w:rFonts w:ascii="宋体" w:hAnsi="宋体"/>
                <w:b/>
                <w:sz w:val="24"/>
              </w:rPr>
            </w:pPr>
            <w:r>
              <w:rPr>
                <w:rFonts w:hint="eastAsia" w:ascii="宋体" w:hAnsi="宋体"/>
                <w:b/>
                <w:sz w:val="24"/>
              </w:rPr>
              <w:t>负债总计</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78" w:type="dxa"/>
            <w:vAlign w:val="center"/>
          </w:tcPr>
          <w:p>
            <w:pPr>
              <w:spacing w:line="320" w:lineRule="exact"/>
              <w:jc w:val="center"/>
              <w:rPr>
                <w:rFonts w:ascii="宋体" w:hAnsi="宋体"/>
                <w:b/>
                <w:sz w:val="24"/>
              </w:rPr>
            </w:pPr>
            <w:r>
              <w:rPr>
                <w:rFonts w:hint="eastAsia" w:ascii="宋体" w:hAnsi="宋体"/>
                <w:b/>
                <w:sz w:val="24"/>
              </w:rPr>
              <w:t>净 资 产</w:t>
            </w:r>
          </w:p>
        </w:tc>
        <w:tc>
          <w:tcPr>
            <w:tcW w:w="1622" w:type="dxa"/>
            <w:vAlign w:val="center"/>
          </w:tcPr>
          <w:p>
            <w:pPr>
              <w:spacing w:line="320" w:lineRule="exact"/>
              <w:ind w:firstLine="480"/>
              <w:jc w:val="center"/>
              <w:rPr>
                <w:rFonts w:ascii="宋体" w:hAnsi="宋体"/>
              </w:rPr>
            </w:pPr>
          </w:p>
        </w:tc>
        <w:tc>
          <w:tcPr>
            <w:tcW w:w="1721" w:type="dxa"/>
            <w:vAlign w:val="center"/>
          </w:tcPr>
          <w:p>
            <w:pPr>
              <w:spacing w:line="320" w:lineRule="exact"/>
              <w:ind w:firstLine="480"/>
              <w:jc w:val="center"/>
              <w:rPr>
                <w:rFonts w:ascii="宋体" w:hAnsi="宋体"/>
              </w:rPr>
            </w:pPr>
          </w:p>
        </w:tc>
        <w:tc>
          <w:tcPr>
            <w:tcW w:w="1559" w:type="dxa"/>
            <w:vAlign w:val="center"/>
          </w:tcPr>
          <w:p>
            <w:pPr>
              <w:spacing w:line="320" w:lineRule="exact"/>
              <w:ind w:firstLine="480"/>
              <w:jc w:val="center"/>
              <w:rPr>
                <w:rFonts w:ascii="宋体" w:hAnsi="宋体"/>
              </w:rPr>
            </w:pPr>
          </w:p>
        </w:tc>
        <w:tc>
          <w:tcPr>
            <w:tcW w:w="1260" w:type="dxa"/>
            <w:vAlign w:val="center"/>
          </w:tcPr>
          <w:p>
            <w:pPr>
              <w:spacing w:line="320" w:lineRule="exact"/>
              <w:ind w:firstLine="480"/>
              <w:jc w:val="center"/>
              <w:rPr>
                <w:rFonts w:ascii="宋体" w:hAnsi="宋体"/>
              </w:rPr>
            </w:pPr>
          </w:p>
        </w:tc>
      </w:tr>
    </w:tbl>
    <w:p>
      <w:pPr>
        <w:spacing w:line="320" w:lineRule="exact"/>
        <w:ind w:firstLine="472" w:firstLineChars="225"/>
      </w:pPr>
      <w:r>
        <w:rPr>
          <w:rFonts w:hint="eastAsia"/>
        </w:rPr>
        <w:t xml:space="preserve">                                                                 </w:t>
      </w:r>
    </w:p>
    <w:p>
      <w:pPr>
        <w:rPr>
          <w:rFonts w:ascii="仿宋_GB2312" w:hAnsi="仿宋_GB2312" w:eastAsia="仿宋_GB2312"/>
          <w:sz w:val="32"/>
          <w:szCs w:val="36"/>
        </w:rPr>
      </w:pPr>
      <w:r>
        <w:rPr>
          <w:rFonts w:hint="eastAsia" w:ascii="宋体" w:hAnsi="宋体"/>
          <w:b/>
          <w:color w:val="000000"/>
          <w:spacing w:val="-6"/>
          <w:sz w:val="36"/>
          <w:szCs w:val="36"/>
        </w:rPr>
        <w:br w:type="page"/>
      </w:r>
      <w:r>
        <w:rPr>
          <w:rFonts w:hint="eastAsia" w:ascii="仿宋_GB2312" w:hAnsi="仿宋_GB2312" w:eastAsia="仿宋_GB2312"/>
          <w:sz w:val="32"/>
          <w:szCs w:val="36"/>
        </w:rPr>
        <w:t>备注：</w:t>
      </w:r>
    </w:p>
    <w:p>
      <w:pPr>
        <w:ind w:left="320" w:hanging="320" w:hangingChars="100"/>
        <w:rPr>
          <w:rFonts w:ascii="仿宋_GB2312" w:hAnsi="仿宋_GB2312" w:eastAsia="仿宋_GB2312"/>
          <w:sz w:val="32"/>
          <w:szCs w:val="36"/>
        </w:rPr>
      </w:pPr>
      <w:r>
        <w:rPr>
          <w:rFonts w:hint="eastAsia" w:ascii="仿宋_GB2312" w:hAnsi="仿宋_GB2312" w:eastAsia="仿宋_GB2312"/>
          <w:sz w:val="32"/>
          <w:szCs w:val="36"/>
        </w:rPr>
        <w:t>1．本备案表应与资产评估报告书同时使用,评估报告的使用各方应关注评估报告书中所揭示的特别事项和评估报告的法律效力等内容,合理使用评估结果。</w:t>
      </w:r>
    </w:p>
    <w:p>
      <w:pPr>
        <w:ind w:left="320" w:hanging="320" w:hangingChars="100"/>
        <w:rPr>
          <w:rFonts w:ascii="仿宋_GB2312" w:hAnsi="仿宋_GB2312" w:eastAsia="仿宋_GB2312"/>
          <w:sz w:val="32"/>
          <w:szCs w:val="36"/>
        </w:rPr>
      </w:pPr>
      <w:r>
        <w:rPr>
          <w:rFonts w:hint="eastAsia" w:ascii="仿宋_GB2312" w:hAnsi="仿宋_GB2312" w:eastAsia="仿宋_GB2312"/>
          <w:sz w:val="32"/>
          <w:szCs w:val="36"/>
        </w:rPr>
        <w:t>2.本项目所出具的资产评估报告的法律责任由受托评估机构和在评估报告中签字的具有相应执业资格的评估人员共同承担，不因本备案而转移其法律责任。</w:t>
      </w:r>
    </w:p>
    <w:p>
      <w:pPr>
        <w:ind w:left="320" w:hanging="320" w:hangingChars="100"/>
        <w:rPr>
          <w:rFonts w:ascii="仿宋_GB2312" w:hAnsi="仿宋_GB2312" w:eastAsia="仿宋_GB2312"/>
          <w:sz w:val="32"/>
          <w:szCs w:val="36"/>
        </w:rPr>
      </w:pPr>
      <w:r>
        <w:rPr>
          <w:rFonts w:hint="eastAsia" w:ascii="仿宋_GB2312" w:hAnsi="仿宋_GB2312" w:eastAsia="仿宋_GB2312"/>
          <w:sz w:val="32"/>
          <w:szCs w:val="36"/>
        </w:rPr>
        <w:t>3.本表一式三份。一份留存备案单位，一份送产权持有单位，一份送上级单位。</w:t>
      </w: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beforeLines="100" w:afterLines="100" w:line="540" w:lineRule="exact"/>
        <w:ind w:firstLine="699"/>
        <w:jc w:val="both"/>
        <w:rPr>
          <w:rFonts w:ascii="宋体" w:hAnsi="宋体"/>
          <w:b/>
          <w:color w:val="000000"/>
          <w:spacing w:val="-6"/>
          <w:sz w:val="36"/>
          <w:szCs w:val="36"/>
        </w:rPr>
      </w:pPr>
      <w:bookmarkStart w:id="0" w:name="_GoBack"/>
      <w:bookmarkEnd w:id="0"/>
    </w:p>
    <w:p>
      <w:pPr>
        <w:adjustRightInd w:val="0"/>
        <w:snapToGrid w:val="0"/>
        <w:spacing w:beforeLines="100" w:afterLines="100" w:line="540" w:lineRule="exact"/>
        <w:ind w:firstLine="699"/>
        <w:jc w:val="both"/>
        <w:rPr>
          <w:rFonts w:ascii="宋体" w:hAnsi="宋体"/>
          <w:b/>
          <w:color w:val="000000"/>
          <w:spacing w:val="-6"/>
          <w:sz w:val="36"/>
          <w:szCs w:val="36"/>
        </w:rPr>
      </w:pPr>
    </w:p>
    <w:p>
      <w:pPr>
        <w:adjustRightInd w:val="0"/>
        <w:snapToGrid w:val="0"/>
        <w:spacing w:line="700" w:lineRule="exact"/>
        <w:jc w:val="both"/>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17"/>
    <w:rsid w:val="00027CA1"/>
    <w:rsid w:val="00092600"/>
    <w:rsid w:val="000E29A3"/>
    <w:rsid w:val="001B0D3C"/>
    <w:rsid w:val="0021237B"/>
    <w:rsid w:val="002650C4"/>
    <w:rsid w:val="002901FB"/>
    <w:rsid w:val="002B386A"/>
    <w:rsid w:val="00311869"/>
    <w:rsid w:val="003C6036"/>
    <w:rsid w:val="003C7941"/>
    <w:rsid w:val="00417B39"/>
    <w:rsid w:val="0042752A"/>
    <w:rsid w:val="004B3795"/>
    <w:rsid w:val="005603B9"/>
    <w:rsid w:val="0058577B"/>
    <w:rsid w:val="005D0010"/>
    <w:rsid w:val="005D712D"/>
    <w:rsid w:val="006172E1"/>
    <w:rsid w:val="006411C0"/>
    <w:rsid w:val="006652FC"/>
    <w:rsid w:val="00725CA3"/>
    <w:rsid w:val="0073693B"/>
    <w:rsid w:val="00753047"/>
    <w:rsid w:val="007A4513"/>
    <w:rsid w:val="00831F37"/>
    <w:rsid w:val="00A34917"/>
    <w:rsid w:val="00AD6DEB"/>
    <w:rsid w:val="00B83970"/>
    <w:rsid w:val="00C63C46"/>
    <w:rsid w:val="00C95D32"/>
    <w:rsid w:val="00CB1579"/>
    <w:rsid w:val="00D37F05"/>
    <w:rsid w:val="00D70C80"/>
    <w:rsid w:val="00D80971"/>
    <w:rsid w:val="00D87E2B"/>
    <w:rsid w:val="00DA41E8"/>
    <w:rsid w:val="00E34553"/>
    <w:rsid w:val="00EA0518"/>
    <w:rsid w:val="00EB6946"/>
    <w:rsid w:val="00F84CE2"/>
    <w:rsid w:val="05E7622D"/>
    <w:rsid w:val="070415FE"/>
    <w:rsid w:val="07A32478"/>
    <w:rsid w:val="09390B2F"/>
    <w:rsid w:val="0A81786E"/>
    <w:rsid w:val="0C52064C"/>
    <w:rsid w:val="0CD64AC8"/>
    <w:rsid w:val="0EC12DA9"/>
    <w:rsid w:val="10404FCC"/>
    <w:rsid w:val="19004E74"/>
    <w:rsid w:val="199C6CA3"/>
    <w:rsid w:val="228105C2"/>
    <w:rsid w:val="23557224"/>
    <w:rsid w:val="23AD0FF7"/>
    <w:rsid w:val="2430345F"/>
    <w:rsid w:val="276F0486"/>
    <w:rsid w:val="28972A37"/>
    <w:rsid w:val="29A3180B"/>
    <w:rsid w:val="2A212B54"/>
    <w:rsid w:val="2A2A5CEC"/>
    <w:rsid w:val="2C8610B2"/>
    <w:rsid w:val="2E945E19"/>
    <w:rsid w:val="2FAA2D17"/>
    <w:rsid w:val="3568348A"/>
    <w:rsid w:val="37991B42"/>
    <w:rsid w:val="37D9620A"/>
    <w:rsid w:val="399E58E4"/>
    <w:rsid w:val="39C1186B"/>
    <w:rsid w:val="3B815EDA"/>
    <w:rsid w:val="3C543F48"/>
    <w:rsid w:val="3D616838"/>
    <w:rsid w:val="3FF974E4"/>
    <w:rsid w:val="409E1285"/>
    <w:rsid w:val="41FF72B2"/>
    <w:rsid w:val="423B7AC0"/>
    <w:rsid w:val="424B1B82"/>
    <w:rsid w:val="49E558C7"/>
    <w:rsid w:val="4E6E0332"/>
    <w:rsid w:val="4EF77EA5"/>
    <w:rsid w:val="53710B8F"/>
    <w:rsid w:val="53A759AB"/>
    <w:rsid w:val="53BE09B9"/>
    <w:rsid w:val="553E5342"/>
    <w:rsid w:val="568731C5"/>
    <w:rsid w:val="573E574E"/>
    <w:rsid w:val="58E80104"/>
    <w:rsid w:val="5B024B95"/>
    <w:rsid w:val="5F3B7213"/>
    <w:rsid w:val="60AA4F32"/>
    <w:rsid w:val="60CA3D48"/>
    <w:rsid w:val="60D61C12"/>
    <w:rsid w:val="60EE6FCB"/>
    <w:rsid w:val="61A16791"/>
    <w:rsid w:val="64830026"/>
    <w:rsid w:val="65D611F8"/>
    <w:rsid w:val="660B6A42"/>
    <w:rsid w:val="6654751F"/>
    <w:rsid w:val="68D53E55"/>
    <w:rsid w:val="692449CD"/>
    <w:rsid w:val="6CFC3C26"/>
    <w:rsid w:val="6DC27B98"/>
    <w:rsid w:val="6F0F03FD"/>
    <w:rsid w:val="6F9B1FBA"/>
    <w:rsid w:val="71CC6DE4"/>
    <w:rsid w:val="72067F23"/>
    <w:rsid w:val="720949A8"/>
    <w:rsid w:val="72CB5C65"/>
    <w:rsid w:val="72E83C51"/>
    <w:rsid w:val="77AA4375"/>
    <w:rsid w:val="77CA0095"/>
    <w:rsid w:val="781F0056"/>
    <w:rsid w:val="78AD0615"/>
    <w:rsid w:val="7B08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rPr>
  </w:style>
  <w:style w:type="paragraph" w:customStyle="1" w:styleId="8">
    <w:name w:val="文号"/>
    <w:qFormat/>
    <w:uiPriority w:val="0"/>
    <w:pPr>
      <w:jc w:val="center"/>
    </w:pPr>
    <w:rPr>
      <w:rFonts w:ascii="楷体_GB2312" w:hAnsi="Times New Roman" w:eastAsia="楷体_GB2312" w:cs="Times New Roman"/>
      <w:sz w:val="21"/>
      <w:lang w:val="en-US" w:eastAsia="zh-CN" w:bidi="ar-SA"/>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customStyle="1" w:styleId="10">
    <w:name w:val="页眉 Char"/>
    <w:basedOn w:val="6"/>
    <w:link w:val="4"/>
    <w:qFormat/>
    <w:uiPriority w:val="99"/>
    <w:rPr>
      <w:rFonts w:ascii="Times New Roman" w:hAnsi="Times New Roman" w:eastAsia="宋体" w:cs="Times New Roman"/>
      <w:sz w:val="18"/>
      <w:szCs w:val="18"/>
    </w:rPr>
  </w:style>
  <w:style w:type="character" w:customStyle="1" w:styleId="11">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1195</Words>
  <Characters>6817</Characters>
  <Lines>56</Lines>
  <Paragraphs>15</Paragraphs>
  <TotalTime>0</TotalTime>
  <ScaleCrop>false</ScaleCrop>
  <LinksUpToDate>false</LinksUpToDate>
  <CharactersWithSpaces>7997</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2018-08-23T03:25:00Z</dcterms:created>
  <dc:creator>ji Liu</dc:creator>
  <cp:lastModifiedBy>WPS_1528084651</cp:lastModifiedBy>
  <cp:lastPrinted>2018-11-30T02:17:00Z</cp:lastPrinted>
  <dcterms:modified xsi:type="dcterms:W3CDTF">2018-12-10T07:19:34Z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