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588"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转发《天津市国资委监管企业</w:t>
      </w:r>
    </w:p>
    <w:p>
      <w:pPr>
        <w:keepNext w:val="0"/>
        <w:keepLines w:val="0"/>
        <w:pageBreakBefore w:val="0"/>
        <w:widowControl w:val="0"/>
        <w:kinsoku/>
        <w:wordWrap/>
        <w:overflowPunct/>
        <w:topLinePunct w:val="0"/>
        <w:autoSpaceDE/>
        <w:autoSpaceDN/>
        <w:bidi w:val="0"/>
        <w:adjustRightInd/>
        <w:snapToGrid/>
        <w:spacing w:beforeLines="0" w:line="588"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法律纠纷案件管理办法》</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通知</w:t>
      </w:r>
    </w:p>
    <w:bookmarkEnd w:id="0"/>
    <w:p>
      <w:pPr>
        <w:spacing w:beforeLines="0" w:line="588"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beforeLines="0" w:line="58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直属国有企业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Lines="0" w:line="588"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日前，市国资委印发了《天津市国资委监管企业法律纠纷案件管理办法》，现转发给你们</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请遵照执行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line="588" w:lineRule="exact"/>
        <w:ind w:firstLine="66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各直属国有企业要认真学习，严格落实案件管理的主体责任，切实加强对本企业及所属企业的案件管理工作。按规定及时对重大法律纠纷案件进行报备，同时</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每年</w:t>
      </w:r>
      <w:r>
        <w:rPr>
          <w:rFonts w:hint="eastAsia" w:ascii="仿宋_GB2312" w:hAnsi="仿宋_GB2312" w:eastAsia="仿宋_GB2312" w:cs="仿宋_GB2312"/>
          <w:color w:val="000000" w:themeColor="text1"/>
          <w:sz w:val="32"/>
          <w:szCs w:val="32"/>
          <w:shd w:val="clear" w:color="auto" w:fill="auto"/>
          <w:lang w:val="e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auto"/>
          <w:lang w:val="en" w:eastAsia="zh-CN"/>
          <w14:textFill>
            <w14:solidFill>
              <w14:schemeClr w14:val="tx1"/>
            </w14:solidFill>
          </w14:textFill>
        </w:rPr>
        <w:t>月底前</w:t>
      </w:r>
      <w:r>
        <w:rPr>
          <w:rFonts w:hint="eastAsia" w:ascii="仿宋_GB2312" w:hAnsi="仿宋_GB2312" w:eastAsia="仿宋_GB2312" w:cs="仿宋_GB2312"/>
          <w:color w:val="000000" w:themeColor="text1"/>
          <w:sz w:val="32"/>
          <w:szCs w:val="32"/>
          <w:shd w:val="clear" w:color="auto" w:fill="auto"/>
          <w14:textFill>
            <w14:solidFill>
              <w14:schemeClr w14:val="tx1"/>
            </w14:solidFill>
          </w14:textFill>
        </w:rPr>
        <w:t>对本企业和所属企业发生的法律纠纷案件情况进行统计，形成年度案件综合分析报告。</w:t>
      </w:r>
    </w:p>
    <w:p>
      <w:pPr>
        <w:keepNext w:val="0"/>
        <w:keepLines w:val="0"/>
        <w:pageBreakBefore w:val="0"/>
        <w:widowControl w:val="0"/>
        <w:kinsoku/>
        <w:wordWrap/>
        <w:overflowPunct/>
        <w:topLinePunct w:val="0"/>
        <w:autoSpaceDE/>
        <w:autoSpaceDN/>
        <w:bidi w:val="0"/>
        <w:adjustRightInd/>
        <w:snapToGrid/>
        <w:spacing w:beforeLines="0" w:line="588"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各开发区管委会国资监管部门、相关授权管理单位，可参照本办法指导所出资企业加强案件管理工作。</w:t>
      </w:r>
    </w:p>
    <w:p>
      <w:pPr>
        <w:pStyle w:val="2"/>
        <w:spacing w:beforeLines="0" w:line="588" w:lineRule="exact"/>
        <w:rPr>
          <w:rFonts w:hint="eastAsia"/>
        </w:rPr>
      </w:pPr>
    </w:p>
    <w:p>
      <w:pPr>
        <w:spacing w:beforeLines="0" w:line="588"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w:t>
      </w:r>
      <w:r>
        <w:rPr>
          <w:rFonts w:hint="eastAsia" w:ascii="仿宋_GB2312" w:hAnsi="仿宋_GB2312" w:eastAsia="仿宋_GB2312" w:cs="仿宋_GB2312"/>
          <w:sz w:val="32"/>
          <w:szCs w:val="32"/>
          <w:lang w:eastAsia="zh-CN"/>
        </w:rPr>
        <w:t>天津市国资委监管企业法律纠纷案件管理办法</w:t>
      </w:r>
    </w:p>
    <w:p>
      <w:pPr>
        <w:spacing w:beforeLines="0" w:line="588" w:lineRule="exact"/>
        <w:rPr>
          <w:rFonts w:hint="eastAsia" w:ascii="仿宋_GB2312" w:eastAsia="仿宋_GB2312"/>
          <w:sz w:val="32"/>
          <w:szCs w:val="32"/>
        </w:rPr>
      </w:pPr>
    </w:p>
    <w:p>
      <w:pPr>
        <w:pStyle w:val="2"/>
        <w:spacing w:beforeLines="0" w:line="588" w:lineRule="exact"/>
        <w:rPr>
          <w:rFonts w:hint="eastAsia"/>
        </w:rPr>
      </w:pPr>
    </w:p>
    <w:p>
      <w:pPr>
        <w:pStyle w:val="2"/>
        <w:spacing w:beforeLines="0" w:line="588" w:lineRule="exact"/>
        <w:rPr>
          <w:rFonts w:hint="eastAsia"/>
        </w:rPr>
      </w:pPr>
    </w:p>
    <w:p>
      <w:pPr>
        <w:spacing w:beforeLines="0" w:line="588" w:lineRule="exact"/>
        <w:rPr>
          <w:rFonts w:hint="eastAsia" w:ascii="仿宋_GB2312" w:eastAsia="仿宋_GB2312"/>
          <w:sz w:val="32"/>
          <w:szCs w:val="32"/>
        </w:rPr>
      </w:pPr>
      <w:r>
        <w:rPr>
          <w:rFonts w:hint="eastAsia" w:ascii="仿宋_GB2312" w:eastAsia="仿宋_GB2312"/>
          <w:sz w:val="32"/>
          <w:szCs w:val="32"/>
        </w:rPr>
        <w:t>　　　　　　　　　　　　　　　　</w:t>
      </w:r>
      <w:r>
        <w:rPr>
          <w:rFonts w:hint="default" w:ascii="仿宋_GB2312" w:eastAsia="仿宋_GB2312"/>
          <w:sz w:val="32"/>
          <w:szCs w:val="32"/>
          <w:lang w:val="en"/>
        </w:rPr>
        <w:t xml:space="preserve">  </w:t>
      </w:r>
      <w:r>
        <w:rPr>
          <w:rFonts w:hint="eastAsia" w:ascii="仿宋_GB2312" w:eastAsia="仿宋_GB2312"/>
          <w:sz w:val="32"/>
          <w:szCs w:val="32"/>
        </w:rPr>
        <w:t>　区国资委</w:t>
      </w:r>
    </w:p>
    <w:p>
      <w:pPr>
        <w:spacing w:beforeLines="0" w:line="588" w:lineRule="exact"/>
        <w:rPr>
          <w:rFonts w:ascii="仿宋_GB2312" w:hAnsi="华文中宋" w:eastAsia="仿宋_GB2312"/>
          <w:sz w:val="32"/>
          <w:szCs w:val="32"/>
        </w:rPr>
      </w:pPr>
      <w:r>
        <w:rPr>
          <w:rFonts w:hint="eastAsia" w:ascii="仿宋_GB2312" w:hAnsi="华文中宋" w:eastAsia="仿宋_GB2312"/>
          <w:sz w:val="32"/>
          <w:szCs w:val="32"/>
        </w:rPr>
        <w:t>　　　　　　　　　　　　　　</w:t>
      </w:r>
      <w:r>
        <w:rPr>
          <w:rFonts w:hint="default" w:ascii="仿宋_GB2312" w:hAnsi="华文中宋" w:eastAsia="仿宋_GB2312"/>
          <w:sz w:val="32"/>
          <w:szCs w:val="32"/>
          <w:lang w:val="en"/>
        </w:rPr>
        <w:t xml:space="preserve">  </w:t>
      </w:r>
      <w:r>
        <w:rPr>
          <w:rFonts w:hint="eastAsia" w:ascii="仿宋_GB2312" w:hAnsi="华文中宋" w:eastAsia="仿宋_GB2312"/>
          <w:sz w:val="32"/>
          <w:szCs w:val="32"/>
        </w:rPr>
        <w:t xml:space="preserve">  </w:t>
      </w:r>
      <w:r>
        <w:rPr>
          <w:rFonts w:ascii="仿宋_GB2312" w:hAnsi="华文中宋" w:eastAsia="仿宋_GB2312"/>
          <w:sz w:val="32"/>
          <w:szCs w:val="32"/>
        </w:rPr>
        <w:t>20</w:t>
      </w:r>
      <w:r>
        <w:rPr>
          <w:rFonts w:hint="eastAsia" w:ascii="仿宋_GB2312" w:hAnsi="华文中宋" w:eastAsia="仿宋_GB2312"/>
          <w:sz w:val="32"/>
          <w:szCs w:val="32"/>
          <w:lang w:val="en-US" w:eastAsia="zh-CN"/>
        </w:rPr>
        <w:t>23</w:t>
      </w:r>
      <w:r>
        <w:rPr>
          <w:rFonts w:ascii="仿宋_GB2312" w:hAnsi="华文中宋" w:eastAsia="仿宋_GB2312"/>
          <w:sz w:val="32"/>
          <w:szCs w:val="32"/>
        </w:rPr>
        <w:t>年</w:t>
      </w:r>
      <w:r>
        <w:rPr>
          <w:rFonts w:hint="eastAsia" w:ascii="仿宋_GB2312" w:hAnsi="华文中宋" w:eastAsia="仿宋_GB2312"/>
          <w:sz w:val="32"/>
          <w:szCs w:val="32"/>
          <w:lang w:val="en-US" w:eastAsia="zh-CN"/>
        </w:rPr>
        <w:t>8</w:t>
      </w:r>
      <w:r>
        <w:rPr>
          <w:rFonts w:ascii="仿宋_GB2312" w:hAnsi="华文中宋" w:eastAsia="仿宋_GB2312"/>
          <w:sz w:val="32"/>
          <w:szCs w:val="32"/>
        </w:rPr>
        <w:t>月</w:t>
      </w:r>
      <w:r>
        <w:rPr>
          <w:rFonts w:hint="eastAsia" w:ascii="仿宋_GB2312" w:hAnsi="华文中宋" w:eastAsia="仿宋_GB2312"/>
          <w:sz w:val="32"/>
          <w:szCs w:val="32"/>
          <w:lang w:val="en-US" w:eastAsia="zh-CN"/>
        </w:rPr>
        <w:t>3</w:t>
      </w:r>
      <w:r>
        <w:rPr>
          <w:rFonts w:hint="default" w:ascii="仿宋_GB2312" w:hAnsi="华文中宋" w:eastAsia="仿宋_GB2312"/>
          <w:sz w:val="32"/>
          <w:szCs w:val="32"/>
          <w:lang w:val="en" w:eastAsia="zh-CN"/>
        </w:rPr>
        <w:t>1</w:t>
      </w:r>
      <w:r>
        <w:rPr>
          <w:rFonts w:ascii="仿宋_GB2312" w:hAnsi="华文中宋" w:eastAsia="仿宋_GB2312"/>
          <w:sz w:val="32"/>
          <w:szCs w:val="32"/>
        </w:rPr>
        <w:t>日</w:t>
      </w:r>
    </w:p>
    <w:p>
      <w:pPr>
        <w:spacing w:beforeLines="0" w:line="588" w:lineRule="exact"/>
        <w:ind w:firstLine="4160" w:firstLineChars="1300"/>
        <w:jc w:val="left"/>
        <w:rPr>
          <w:rFonts w:hint="eastAsia" w:ascii="仿宋_GB2312" w:hAnsi="仿宋_GB2312" w:eastAsia="仿宋_GB2312" w:cs="仿宋_GB2312"/>
          <w:sz w:val="32"/>
          <w:szCs w:val="32"/>
        </w:rPr>
      </w:pPr>
      <w:r>
        <w:rPr>
          <w:rFonts w:hint="eastAsia" w:ascii="仿宋_GB2312" w:hAnsi="华文中宋" w:eastAsia="仿宋_GB2312"/>
          <w:sz w:val="32"/>
          <w:szCs w:val="32"/>
        </w:rPr>
        <w:t>　</w:t>
      </w:r>
    </w:p>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ascii="仿宋_GB2312" w:eastAsia="仿宋_GB2312" w:cs="仿宋_GB2312"/>
          <w:i w:val="0"/>
          <w:iCs w:val="0"/>
          <w:caps w:val="0"/>
          <w:color w:val="3D3D3D"/>
          <w:spacing w:val="0"/>
          <w:sz w:val="32"/>
          <w:szCs w:val="32"/>
        </w:rPr>
      </w:pPr>
      <w:r>
        <w:rPr>
          <w:rFonts w:ascii="方正小标宋简体" w:hAnsi="方正小标宋简体" w:eastAsia="方正小标宋简体" w:cs="方正小标宋简体"/>
          <w:i w:val="0"/>
          <w:iCs w:val="0"/>
          <w:caps w:val="0"/>
          <w:color w:val="3D3D3D"/>
          <w:spacing w:val="0"/>
          <w:sz w:val="43"/>
          <w:szCs w:val="43"/>
          <w:shd w:val="clear" w:fill="FFFFFF"/>
        </w:rPr>
        <w:t>天津市国资委监管</w:t>
      </w:r>
      <w:r>
        <w:rPr>
          <w:rFonts w:hint="eastAsia" w:ascii="方正小标宋简体" w:hAnsi="方正小标宋简体" w:eastAsia="方正小标宋简体" w:cs="方正小标宋简体"/>
          <w:i w:val="0"/>
          <w:iCs w:val="0"/>
          <w:caps w:val="0"/>
          <w:color w:val="3D3D3D"/>
          <w:spacing w:val="0"/>
          <w:sz w:val="43"/>
          <w:szCs w:val="43"/>
          <w:shd w:val="clear" w:fill="FFFFFF"/>
        </w:rPr>
        <w:t>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方正小标宋简体" w:hAnsi="方正小标宋简体" w:eastAsia="方正小标宋简体" w:cs="方正小标宋简体"/>
          <w:i w:val="0"/>
          <w:iCs w:val="0"/>
          <w:caps w:val="0"/>
          <w:color w:val="3D3D3D"/>
          <w:spacing w:val="0"/>
          <w:sz w:val="43"/>
          <w:szCs w:val="43"/>
          <w:shd w:val="clear" w:fill="FFFFFF"/>
        </w:rPr>
        <w:t>法律纠纷案件管理办法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both"/>
        <w:rPr>
          <w:rFonts w:hint="eastAsia" w:ascii="仿宋_GB2312" w:eastAsia="仿宋_GB2312" w:cs="仿宋_GB2312"/>
          <w:i w:val="0"/>
          <w:iCs w:val="0"/>
          <w:caps w:val="0"/>
          <w:color w:val="3D3D3D"/>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ascii="黑体" w:hAnsi="宋体" w:eastAsia="黑体" w:cs="黑体"/>
          <w:i w:val="0"/>
          <w:iCs w:val="0"/>
          <w:caps w:val="0"/>
          <w:color w:val="3D3D3D"/>
          <w:spacing w:val="0"/>
          <w:sz w:val="31"/>
          <w:szCs w:val="31"/>
          <w:shd w:val="clear" w:fill="FFFFFF"/>
        </w:rPr>
        <w:t>第一章</w:t>
      </w:r>
      <w:r>
        <w:rPr>
          <w:rFonts w:hint="eastAsia" w:ascii="黑体" w:hAnsi="宋体" w:eastAsia="黑体" w:cs="黑体"/>
          <w:i w:val="0"/>
          <w:iCs w:val="0"/>
          <w:caps w:val="0"/>
          <w:color w:val="3D3D3D"/>
          <w:spacing w:val="0"/>
          <w:sz w:val="31"/>
          <w:szCs w:val="31"/>
          <w:shd w:val="clear" w:fill="FFFFFF"/>
        </w:rPr>
        <w:t>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第一条</w:t>
      </w:r>
      <w:r>
        <w:rPr>
          <w:rFonts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为深入贯彻习近平法治思想，落实全面依法治国战略部署，加强监管企业法律纠纷案件管理，依法保障企业合法权益，切实维护国有资产安全，根据《中华人民共和国企业国有资产法》《企业国有资产监督管理暂行条例》等法律法规，参照《中央企业法律纠纷案件管理办法》，结合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本办法适用于天津市人民政府国有资产监督管理委员会（以下简称市国资委）监管的市管和委管企业（以下简称监管企业）。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本办法所称法律纠纷案件是指监管企业及其所属单位在经营管理过程中发生的境内外诉讼、仲裁等（以下简称案件）。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第四条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严格落实案件管理主体责任，持续加强案件管理，完善管理制度，健全工作机制，积极主动维权，切实防止国有资产损失。建立健全以案促管机制，及时发现案件反映的管理问题，堵塞管理漏洞，提升管理水平，切实保障提质增效、稳健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第五条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市国资委负责指导监管企业案件管理工作，建立健全法律、监督、追责等部门协同工作机制，加强对案件处理、备案等情况的监督检查，强化对重大案件的指导协调和督办。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第二章 组织职责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第六条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主要负责人切实履行法治建设第一责任人职责，将案件管理工作纳入法治国企建设全局统筹谋划，加强对案件管理工作的领导，定期听取报告，并对重难点问题亲自研究、部署、协调和督办，强化机构、人员、经费等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第七条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监管企业总法律顾问牵头案件管理工作，研究解决重点难点问题，领导法务管理部门完善工作机制，指导所属单位加强案件管理。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第八条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监管企业法务管理部门负责拟订案件管理制度，组织本企业并指导所属单位积极开展案件应对，对案件反映的管理问题提出完善建议，选聘和管理法律服务中介机构，推动案件管理信息化建设等工作。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第九条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业务和职能部门应当及时与法务管理部门沟通可能引发案件的有关情况，配合开展证据收集、案情分析、法律论证、案件执行等工作，针对案件反映的管理问题完善相关制度，改进工作机制，推动以案促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监管企业应当建立案件管理人才选拔培养机制，鼓励法务人员参与或者直接代理案件，持续提升案件管理工作水平。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第三章 管理机制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第十一条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监管企业应当结合实际健全案件管理相关制度，明确责任主体、职责范围、管控措施、监督问责等内容。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监管企业应当结合实际建立健全统一管理、分类指导、分级负责的案件管理机制，细化案件预防、应对、报告、整改、奖惩等各环节管理措施。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第十二条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监管企业应当定期开展法律纠纷风险排查，建立重大风险预警机制，分类制定防控策略，完善应对预案，有效防范案件风险。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第十三条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监管企业发生案件应当及时采取措施，全面调查了解案情，做好法律分析、证据收集等工作，规范参加庭审活动，加强舆情监测处置。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第十四条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监管企业应当结合国际化经营实际，建立健全涉外案件管理机制，加大涉外案件处理力度，切实维护境外国有资产安全。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第十五条</w:t>
      </w:r>
      <w:r>
        <w:rPr>
          <w:rFonts w:hint="eastAsia" w:ascii="仿宋_GB2312" w:eastAsia="仿宋_GB2312" w:cs="仿宋_GB2312"/>
          <w:i w:val="0"/>
          <w:iCs w:val="0"/>
          <w:caps w:val="0"/>
          <w:color w:val="3D3D3D"/>
          <w:spacing w:val="0"/>
          <w:sz w:val="31"/>
          <w:szCs w:val="31"/>
          <w:shd w:val="clear" w:fill="FFFFFF"/>
        </w:rPr>
        <w:t> 监管企业应当通过诉讼、仲裁、调解、和解等多元化纠纷解决机制妥善处理案件。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同一监管企业所属单位之间发生法律纠纷，鼓励通过内部调解等方式解决。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第十六条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监管企业应当建立案件预警机制，针对典型性和普遍性案件深入分析发案原因、潜在后果等，及时进行预警提示，切实采取防控措施。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第十七条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监管企业应当加强历史遗留案件处理，研究制定处置方案，动态跟踪进展情况，积极采取有力措施，推动案件加快解决。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第十八条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监管企业应当对处理完毕的案件及时进行总结分析，梳理案件管理经验，查找经营管理薄弱环节，通过多种形式，指导督促本企业有关部门和所属单位完善管理制度，堵塞管理漏洞。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第十九条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监管企业应当将法律纠纷及案件管理情况作为法治建设重要内容，加强对本企业及所属单位法律纠纷及案件管理、处理、报告、协调情况的监督和检查，纳入对所属单位的考核评价。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监管企业应当建立上下贯通、全面覆盖、实时监测的案件管理信息系统，及时掌握案件情况，健全管理指标体系，加强数据统计分析，增强案件管理的针对性和有效性。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第二十一条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监管企业应当每年对案件情况进行汇总统计和研究分析，并于</w:t>
      </w:r>
      <w:r>
        <w:rPr>
          <w:rFonts w:hint="eastAsia" w:ascii="仿宋_GB2312" w:eastAsia="仿宋_GB2312" w:cs="仿宋_GB2312"/>
          <w:i w:val="0"/>
          <w:iCs w:val="0"/>
          <w:caps w:val="0"/>
          <w:color w:val="333333"/>
          <w:spacing w:val="15"/>
          <w:sz w:val="31"/>
          <w:szCs w:val="31"/>
          <w:shd w:val="clear" w:fill="FFFFFF"/>
        </w:rPr>
        <w:t>2</w:t>
      </w:r>
      <w:r>
        <w:rPr>
          <w:rFonts w:hint="eastAsia" w:ascii="仿宋_GB2312" w:eastAsia="仿宋_GB2312" w:cs="仿宋_GB2312"/>
          <w:i w:val="0"/>
          <w:iCs w:val="0"/>
          <w:caps w:val="0"/>
          <w:color w:val="3D3D3D"/>
          <w:spacing w:val="0"/>
          <w:sz w:val="31"/>
          <w:szCs w:val="31"/>
          <w:shd w:val="clear" w:fill="FFFFFF"/>
        </w:rPr>
        <w:t>月底前向市国资委报送上一年度案件综合分析报告。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第四章 重大案件管理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第二十二条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监管企业应当建立重大案件管理制度，结合自身实际明确重大案件标准，完善案件应对机制，加大处理力度，推动妥善解决。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第二十三条</w:t>
      </w:r>
      <w:r>
        <w:rPr>
          <w:rFonts w:hint="eastAsia" w:ascii="仿宋_GB2312" w:eastAsia="仿宋_GB2312" w:cs="仿宋_GB2312"/>
          <w:i w:val="0"/>
          <w:iCs w:val="0"/>
          <w:caps w:val="0"/>
          <w:color w:val="3D3D3D"/>
          <w:spacing w:val="0"/>
          <w:sz w:val="31"/>
          <w:szCs w:val="31"/>
          <w:shd w:val="clear" w:fill="FFFFFF"/>
        </w:rPr>
        <w:t> 监管企业发生以下重大案件，应当自立案、受理或者收到应诉通知书等材料之日起</w:t>
      </w:r>
      <w:r>
        <w:rPr>
          <w:rFonts w:hint="eastAsia" w:ascii="仿宋_GB2312" w:eastAsia="仿宋_GB2312" w:cs="仿宋_GB2312"/>
          <w:i w:val="0"/>
          <w:iCs w:val="0"/>
          <w:caps w:val="0"/>
          <w:color w:val="333333"/>
          <w:spacing w:val="15"/>
          <w:sz w:val="31"/>
          <w:szCs w:val="31"/>
          <w:shd w:val="clear" w:fill="FFFFFF"/>
        </w:rPr>
        <w:t>10</w:t>
      </w:r>
      <w:r>
        <w:rPr>
          <w:rFonts w:hint="eastAsia" w:ascii="仿宋_GB2312" w:eastAsia="仿宋_GB2312" w:cs="仿宋_GB2312"/>
          <w:i w:val="0"/>
          <w:iCs w:val="0"/>
          <w:caps w:val="0"/>
          <w:color w:val="3D3D3D"/>
          <w:spacing w:val="0"/>
          <w:sz w:val="31"/>
          <w:szCs w:val="31"/>
          <w:shd w:val="clear" w:fill="FFFFFF"/>
        </w:rPr>
        <w:t>个工作日内报市国资委备案：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（一）涉案金额达到</w:t>
      </w:r>
      <w:r>
        <w:rPr>
          <w:rFonts w:hint="eastAsia" w:ascii="仿宋_GB2312" w:eastAsia="仿宋_GB2312" w:cs="仿宋_GB2312"/>
          <w:i w:val="0"/>
          <w:iCs w:val="0"/>
          <w:caps w:val="0"/>
          <w:color w:val="333333"/>
          <w:spacing w:val="15"/>
          <w:sz w:val="31"/>
          <w:szCs w:val="31"/>
          <w:shd w:val="clear" w:fill="FFFFFF"/>
        </w:rPr>
        <w:t>5000</w:t>
      </w:r>
      <w:r>
        <w:rPr>
          <w:rFonts w:hint="eastAsia" w:ascii="仿宋_GB2312" w:eastAsia="仿宋_GB2312" w:cs="仿宋_GB2312"/>
          <w:i w:val="0"/>
          <w:iCs w:val="0"/>
          <w:caps w:val="0"/>
          <w:color w:val="3D3D3D"/>
          <w:spacing w:val="0"/>
          <w:sz w:val="31"/>
          <w:szCs w:val="31"/>
          <w:shd w:val="clear" w:fill="FFFFFF"/>
        </w:rPr>
        <w:t>万元人民币或者等值外币以上；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（二）涉案金额达到监管企业上一年度经审计净利润绝对值</w:t>
      </w:r>
      <w:r>
        <w:rPr>
          <w:rFonts w:hint="eastAsia" w:ascii="仿宋_GB2312" w:eastAsia="仿宋_GB2312" w:cs="仿宋_GB2312"/>
          <w:i w:val="0"/>
          <w:iCs w:val="0"/>
          <w:caps w:val="0"/>
          <w:color w:val="333333"/>
          <w:spacing w:val="15"/>
          <w:sz w:val="31"/>
          <w:szCs w:val="31"/>
          <w:shd w:val="clear" w:fill="FFFFFF"/>
        </w:rPr>
        <w:t>10%</w:t>
      </w:r>
      <w:r>
        <w:rPr>
          <w:rFonts w:hint="eastAsia" w:ascii="仿宋_GB2312" w:eastAsia="仿宋_GB2312" w:cs="仿宋_GB2312"/>
          <w:i w:val="0"/>
          <w:iCs w:val="0"/>
          <w:caps w:val="0"/>
          <w:color w:val="3D3D3D"/>
          <w:spacing w:val="0"/>
          <w:sz w:val="31"/>
          <w:szCs w:val="31"/>
          <w:shd w:val="clear" w:fill="FFFFFF"/>
        </w:rPr>
        <w:t>以上，且金额超过</w:t>
      </w:r>
      <w:r>
        <w:rPr>
          <w:rFonts w:hint="eastAsia" w:ascii="仿宋_GB2312" w:eastAsia="仿宋_GB2312" w:cs="仿宋_GB2312"/>
          <w:i w:val="0"/>
          <w:iCs w:val="0"/>
          <w:caps w:val="0"/>
          <w:color w:val="333333"/>
          <w:spacing w:val="15"/>
          <w:sz w:val="31"/>
          <w:szCs w:val="31"/>
          <w:shd w:val="clear" w:fill="FFFFFF"/>
        </w:rPr>
        <w:t>2000</w:t>
      </w:r>
      <w:r>
        <w:rPr>
          <w:rFonts w:hint="eastAsia" w:ascii="仿宋_GB2312" w:eastAsia="仿宋_GB2312" w:cs="仿宋_GB2312"/>
          <w:i w:val="0"/>
          <w:iCs w:val="0"/>
          <w:caps w:val="0"/>
          <w:color w:val="3D3D3D"/>
          <w:spacing w:val="0"/>
          <w:sz w:val="31"/>
          <w:szCs w:val="31"/>
          <w:shd w:val="clear" w:fill="FFFFFF"/>
        </w:rPr>
        <w:t>万元人民币或者等值外币；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（三）可能产生较大影响的群体性案件或者系列案件；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（四）其他涉及监管企业重大权益或者具有重大影响的案件。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第二十四条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监管企业重大案件报备应当包括以下内容：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（一）当事人、案由、涉案金额、主要事实等基本案情；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（二）争议焦点、诉讼策略、结果预判等法律分析意见；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（三）采取的措施；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（四）下一步工作安排；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（五）相关法律文书复印件及主要证据目录。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第二十五条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监管企业报备的重大案件处理完毕、取得生效法律文书后，应当在</w:t>
      </w:r>
      <w:r>
        <w:rPr>
          <w:rFonts w:hint="eastAsia" w:ascii="仿宋_GB2312" w:eastAsia="仿宋_GB2312" w:cs="仿宋_GB2312"/>
          <w:i w:val="0"/>
          <w:iCs w:val="0"/>
          <w:caps w:val="0"/>
          <w:color w:val="333333"/>
          <w:spacing w:val="15"/>
          <w:sz w:val="31"/>
          <w:szCs w:val="31"/>
          <w:shd w:val="clear" w:fill="FFFFFF"/>
        </w:rPr>
        <w:t>10</w:t>
      </w:r>
      <w:r>
        <w:rPr>
          <w:rFonts w:hint="eastAsia" w:ascii="仿宋_GB2312" w:eastAsia="仿宋_GB2312" w:cs="仿宋_GB2312"/>
          <w:i w:val="0"/>
          <w:iCs w:val="0"/>
          <w:caps w:val="0"/>
          <w:color w:val="3D3D3D"/>
          <w:spacing w:val="0"/>
          <w:sz w:val="31"/>
          <w:szCs w:val="31"/>
          <w:shd w:val="clear" w:fill="FFFFFF"/>
        </w:rPr>
        <w:t>个工作日内向市国资委书面报告。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第二十六条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监管企业应当将所属单位发生的、符合本办法第二十三条情形的重大案件当事人、涉案金额、工作进展等信息进行汇总，按月报市国资委备案。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第二十七条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监管企业应当建立重大案件督办机制，加强专业指导和监督检查，督促所属单位落实主体责任，妥善处理案件，依法维护权益。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第二十八条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之间发生重大案件，鼓励通过协商解决；经相关监管企业主要负责人亲自协商仍不能解决的，可以报市国资委指导协调。市国资委组织协调时，相关监管企业应当积极配合，如实反映纠纷事实、争议焦点、协商情况并提出解决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第五章 法律服务机构管理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第二十九条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监管企业应当完善法律服务机构管理制度，科学确定选聘方式，明确选聘条件、流程等，确保依法合规、公平公正。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监管企业在案件处理过程中应当发挥主导作用，加强对法律服务机构的指导监督，有效整合内外部资源，及时掌握进展情况，切实强化对重大事项的审核把关，严格落实保密管理各项要求。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第三十一条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监管企业应当建立法律服务机构评价机制，根据专业能力、服务质量、工作效果、资信状况等进行动态管理，对不能胜任的及时调整。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第三十二条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监管企业应当严格按照有关规定，规范使用风险代理，明确审批权限和程序，综合考虑案件难易程度、涉案金额等，明晰风险责任，合理确定费用。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第六章 奖惩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420"/>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第三十三条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监管企业应当建立健全案件管理激励机制，明确条件和标准，对在案件处理过程中避免或者挽回损失的部门、人员给予表彰和奖励。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第三十四条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监管企业在案件处理过程中，发现相关部门或者个人在经营管理中存在违规行为，造成资产损失或者其他严重不良后果的，应当开展责任追究；对涉嫌违纪违法的，按照规定移交相关部门或者机构处理。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第三十五条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监管企业对有关人员在案件管理过程中玩忽职守、滥用职权、谋取私利，给企业造成资产损失或者其他严重不良后果的，应当按照规定追究相关人员责任。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第三十六条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市国资委对监管企业违反本办法规定，未落实案件管理主体责任、因案件管理不到位造成损失的，可以约谈相关企业并责令整改；对因违规行为引发重大案件并造成重大损失的，根据有关规定在监管企业负责人经营业绩考核中扣减相应分值，并对相关人员开展责任追究；对涉嫌违纪违法的，按照规定移交相关部门或者机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645"/>
        <w:jc w:val="center"/>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645"/>
        <w:jc w:val="center"/>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宋体" w:hAnsi="宋体" w:eastAsia="宋体" w:cs="宋体"/>
          <w:i w:val="0"/>
          <w:iCs w:val="0"/>
          <w:caps w:val="0"/>
          <w:color w:val="3D3D3D"/>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第三十七条  </w:t>
      </w:r>
      <w:r>
        <w:rPr>
          <w:rFonts w:hint="eastAsia" w:ascii="仿宋_GB2312" w:eastAsia="仿宋_GB2312" w:cs="仿宋_GB2312"/>
          <w:i w:val="0"/>
          <w:iCs w:val="0"/>
          <w:caps w:val="0"/>
          <w:color w:val="3D3D3D"/>
          <w:spacing w:val="0"/>
          <w:sz w:val="31"/>
          <w:szCs w:val="31"/>
          <w:shd w:val="clear" w:fill="FFFFFF"/>
        </w:rPr>
        <w:t>金融企业在受托监管期间案件管理参照本办法执行。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40"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仿宋_GB2312" w:eastAsia="仿宋_GB2312" w:cs="仿宋_GB2312"/>
          <w:i w:val="0"/>
          <w:iCs w:val="0"/>
          <w:caps w:val="0"/>
          <w:color w:val="3D3D3D"/>
          <w:spacing w:val="0"/>
          <w:sz w:val="31"/>
          <w:szCs w:val="31"/>
          <w:shd w:val="clear" w:fill="FFFFFF"/>
        </w:rPr>
        <w:t>金融企业向市国资委报备重大案件范围适用本办法第二十三条规定的第（三）项、第（四）项。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第三十八条 </w:t>
      </w:r>
      <w:r>
        <w:rPr>
          <w:rFonts w:hint="eastAsia" w:ascii="仿宋_GB2312" w:eastAsia="仿宋_GB2312" w:cs="仿宋_GB2312"/>
          <w:i w:val="0"/>
          <w:iCs w:val="0"/>
          <w:caps w:val="0"/>
          <w:color w:val="3D3D3D"/>
          <w:spacing w:val="0"/>
          <w:sz w:val="31"/>
          <w:szCs w:val="31"/>
          <w:shd w:val="clear" w:fill="FFFFFF"/>
        </w:rPr>
        <w:t>各区国有资产监督管理机构可参照本办法</w:t>
      </w:r>
      <w:r>
        <w:rPr>
          <w:rFonts w:hint="eastAsia" w:ascii="仿宋" w:hAnsi="仿宋" w:eastAsia="仿宋" w:cs="仿宋"/>
          <w:i w:val="0"/>
          <w:iCs w:val="0"/>
          <w:caps w:val="0"/>
          <w:color w:val="3D3D3D"/>
          <w:spacing w:val="0"/>
          <w:sz w:val="31"/>
          <w:szCs w:val="31"/>
          <w:shd w:val="clear" w:fill="FFFFFF"/>
        </w:rPr>
        <w:t>，指</w:t>
      </w:r>
      <w:r>
        <w:rPr>
          <w:rFonts w:hint="eastAsia" w:ascii="仿宋_GB2312" w:eastAsia="仿宋_GB2312" w:cs="仿宋_GB2312"/>
          <w:i w:val="0"/>
          <w:iCs w:val="0"/>
          <w:caps w:val="0"/>
          <w:color w:val="3D3D3D"/>
          <w:spacing w:val="0"/>
          <w:sz w:val="31"/>
          <w:szCs w:val="31"/>
          <w:shd w:val="clear" w:fill="FFFFFF"/>
        </w:rPr>
        <w:t>导所出资企业加强案件管理工作。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rPr>
          <w:rFonts w:hint="eastAsia"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1"/>
          <w:szCs w:val="31"/>
          <w:shd w:val="clear" w:fill="FFFFFF"/>
        </w:rPr>
        <w:t>第三十九条</w:t>
      </w:r>
      <w:r>
        <w:rPr>
          <w:rFonts w:hint="eastAsia" w:ascii="仿宋_GB2312" w:eastAsia="仿宋_GB2312" w:cs="仿宋_GB2312"/>
          <w:i w:val="0"/>
          <w:iCs w:val="0"/>
          <w:caps w:val="0"/>
          <w:color w:val="3D3D3D"/>
          <w:spacing w:val="0"/>
          <w:sz w:val="31"/>
          <w:szCs w:val="31"/>
          <w:shd w:val="clear" w:fill="FFFFFF"/>
        </w:rPr>
        <w:t> 本办法由市国资委负责解释</w:t>
      </w:r>
      <w:r>
        <w:rPr>
          <w:rFonts w:hint="eastAsia" w:ascii="仿宋" w:hAnsi="仿宋" w:eastAsia="仿宋" w:cs="仿宋"/>
          <w:i w:val="0"/>
          <w:iCs w:val="0"/>
          <w:caps w:val="0"/>
          <w:color w:val="3D3D3D"/>
          <w:spacing w:val="0"/>
          <w:sz w:val="31"/>
          <w:szCs w:val="31"/>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645"/>
        <w:jc w:val="both"/>
      </w:pPr>
      <w:r>
        <w:rPr>
          <w:rFonts w:hint="eastAsia" w:ascii="黑体" w:hAnsi="宋体" w:eastAsia="黑体" w:cs="黑体"/>
          <w:i w:val="0"/>
          <w:iCs w:val="0"/>
          <w:caps w:val="0"/>
          <w:color w:val="3D3D3D"/>
          <w:spacing w:val="0"/>
          <w:sz w:val="31"/>
          <w:szCs w:val="31"/>
          <w:shd w:val="clear" w:fill="FFFFFF"/>
        </w:rPr>
        <w:t>第四十条</w:t>
      </w:r>
      <w:r>
        <w:rPr>
          <w:rFonts w:hint="eastAsia" w:ascii="仿宋" w:hAnsi="仿宋" w:eastAsia="仿宋" w:cs="仿宋"/>
          <w:i w:val="0"/>
          <w:iCs w:val="0"/>
          <w:caps w:val="0"/>
          <w:color w:val="3D3D3D"/>
          <w:spacing w:val="0"/>
          <w:sz w:val="31"/>
          <w:szCs w:val="31"/>
          <w:shd w:val="clear" w:fill="FFFFFF"/>
        </w:rPr>
        <w:t> </w:t>
      </w:r>
      <w:r>
        <w:rPr>
          <w:rFonts w:hint="eastAsia" w:ascii="仿宋_GB2312" w:eastAsia="仿宋_GB2312" w:cs="仿宋_GB2312"/>
          <w:i w:val="0"/>
          <w:iCs w:val="0"/>
          <w:caps w:val="0"/>
          <w:color w:val="3D3D3D"/>
          <w:spacing w:val="0"/>
          <w:sz w:val="31"/>
          <w:szCs w:val="31"/>
          <w:shd w:val="clear" w:fill="FFFFFF"/>
        </w:rPr>
        <w:t>本办法自</w:t>
      </w:r>
      <w:r>
        <w:rPr>
          <w:rFonts w:hint="eastAsia" w:ascii="仿宋_GB2312" w:eastAsia="仿宋_GB2312" w:cs="仿宋_GB2312"/>
          <w:i w:val="0"/>
          <w:iCs w:val="0"/>
          <w:caps w:val="0"/>
          <w:color w:val="333333"/>
          <w:spacing w:val="15"/>
          <w:sz w:val="31"/>
          <w:szCs w:val="31"/>
          <w:shd w:val="clear" w:fill="FFFFFF"/>
        </w:rPr>
        <w:t>2023</w:t>
      </w:r>
      <w:r>
        <w:rPr>
          <w:rFonts w:hint="eastAsia" w:ascii="仿宋_GB2312" w:eastAsia="仿宋_GB2312" w:cs="仿宋_GB2312"/>
          <w:i w:val="0"/>
          <w:iCs w:val="0"/>
          <w:caps w:val="0"/>
          <w:color w:val="3D3D3D"/>
          <w:spacing w:val="0"/>
          <w:sz w:val="31"/>
          <w:szCs w:val="31"/>
          <w:shd w:val="clear" w:fill="FFFFFF"/>
        </w:rPr>
        <w:t>年</w:t>
      </w:r>
      <w:r>
        <w:rPr>
          <w:rFonts w:hint="eastAsia" w:ascii="仿宋_GB2312" w:eastAsia="仿宋_GB2312" w:cs="仿宋_GB2312"/>
          <w:i w:val="0"/>
          <w:iCs w:val="0"/>
          <w:caps w:val="0"/>
          <w:color w:val="333333"/>
          <w:spacing w:val="15"/>
          <w:sz w:val="31"/>
          <w:szCs w:val="31"/>
          <w:shd w:val="clear" w:fill="FFFFFF"/>
        </w:rPr>
        <w:t>9</w:t>
      </w:r>
      <w:r>
        <w:rPr>
          <w:rFonts w:hint="eastAsia" w:ascii="仿宋_GB2312" w:eastAsia="仿宋_GB2312" w:cs="仿宋_GB2312"/>
          <w:i w:val="0"/>
          <w:iCs w:val="0"/>
          <w:caps w:val="0"/>
          <w:color w:val="3D3D3D"/>
          <w:spacing w:val="0"/>
          <w:sz w:val="31"/>
          <w:szCs w:val="31"/>
          <w:shd w:val="clear" w:fill="FFFFFF"/>
        </w:rPr>
        <w:t>月</w:t>
      </w:r>
      <w:r>
        <w:rPr>
          <w:rFonts w:hint="eastAsia" w:ascii="仿宋_GB2312" w:eastAsia="仿宋_GB2312" w:cs="仿宋_GB2312"/>
          <w:i w:val="0"/>
          <w:iCs w:val="0"/>
          <w:caps w:val="0"/>
          <w:color w:val="333333"/>
          <w:spacing w:val="15"/>
          <w:sz w:val="31"/>
          <w:szCs w:val="31"/>
          <w:shd w:val="clear" w:fill="FFFFFF"/>
        </w:rPr>
        <w:t>1</w:t>
      </w:r>
      <w:r>
        <w:rPr>
          <w:rFonts w:hint="eastAsia" w:ascii="仿宋_GB2312" w:eastAsia="仿宋_GB2312" w:cs="仿宋_GB2312"/>
          <w:i w:val="0"/>
          <w:iCs w:val="0"/>
          <w:caps w:val="0"/>
          <w:color w:val="3D3D3D"/>
          <w:spacing w:val="0"/>
          <w:sz w:val="31"/>
          <w:szCs w:val="31"/>
          <w:shd w:val="clear" w:fill="FFFFFF"/>
        </w:rPr>
        <w:t>日起施行，有效期</w:t>
      </w:r>
      <w:r>
        <w:rPr>
          <w:rFonts w:hint="eastAsia" w:ascii="仿宋_GB2312" w:eastAsia="仿宋_GB2312" w:cs="仿宋_GB2312"/>
          <w:i w:val="0"/>
          <w:iCs w:val="0"/>
          <w:caps w:val="0"/>
          <w:color w:val="333333"/>
          <w:spacing w:val="15"/>
          <w:sz w:val="31"/>
          <w:szCs w:val="31"/>
          <w:shd w:val="clear" w:fill="FFFFFF"/>
        </w:rPr>
        <w:t>5</w:t>
      </w:r>
      <w:r>
        <w:rPr>
          <w:rFonts w:hint="eastAsia" w:ascii="仿宋_GB2312" w:eastAsia="仿宋_GB2312" w:cs="仿宋_GB2312"/>
          <w:i w:val="0"/>
          <w:iCs w:val="0"/>
          <w:caps w:val="0"/>
          <w:color w:val="3D3D3D"/>
          <w:spacing w:val="0"/>
          <w:sz w:val="31"/>
          <w:szCs w:val="31"/>
          <w:shd w:val="clear" w:fill="FFFFFF"/>
        </w:rPr>
        <w:t>年。《天津市国资委监管企业重大法律纠纷管理办法》（津国资〔</w:t>
      </w:r>
      <w:r>
        <w:rPr>
          <w:rFonts w:hint="eastAsia" w:ascii="仿宋_GB2312" w:eastAsia="仿宋_GB2312" w:cs="仿宋_GB2312"/>
          <w:i w:val="0"/>
          <w:iCs w:val="0"/>
          <w:caps w:val="0"/>
          <w:color w:val="333333"/>
          <w:spacing w:val="15"/>
          <w:sz w:val="31"/>
          <w:szCs w:val="31"/>
          <w:shd w:val="clear" w:fill="FFFFFF"/>
        </w:rPr>
        <w:t>2022</w:t>
      </w:r>
      <w:r>
        <w:rPr>
          <w:rFonts w:hint="eastAsia" w:ascii="仿宋_GB2312" w:eastAsia="仿宋_GB2312" w:cs="仿宋_GB2312"/>
          <w:i w:val="0"/>
          <w:iCs w:val="0"/>
          <w:caps w:val="0"/>
          <w:color w:val="3D3D3D"/>
          <w:spacing w:val="0"/>
          <w:sz w:val="31"/>
          <w:szCs w:val="31"/>
          <w:shd w:val="clear" w:fill="FFFFFF"/>
        </w:rPr>
        <w:t>〕</w:t>
      </w:r>
      <w:r>
        <w:rPr>
          <w:rFonts w:hint="eastAsia" w:ascii="仿宋_GB2312" w:eastAsia="仿宋_GB2312" w:cs="仿宋_GB2312"/>
          <w:i w:val="0"/>
          <w:iCs w:val="0"/>
          <w:caps w:val="0"/>
          <w:color w:val="333333"/>
          <w:spacing w:val="15"/>
          <w:sz w:val="31"/>
          <w:szCs w:val="31"/>
          <w:shd w:val="clear" w:fill="FFFFFF"/>
        </w:rPr>
        <w:t>1</w:t>
      </w:r>
      <w:r>
        <w:rPr>
          <w:rFonts w:hint="eastAsia" w:ascii="仿宋_GB2312" w:eastAsia="仿宋_GB2312" w:cs="仿宋_GB2312"/>
          <w:i w:val="0"/>
          <w:iCs w:val="0"/>
          <w:caps w:val="0"/>
          <w:color w:val="3D3D3D"/>
          <w:spacing w:val="0"/>
          <w:sz w:val="31"/>
          <w:szCs w:val="31"/>
          <w:shd w:val="clear" w:fill="FFFFFF"/>
        </w:rPr>
        <w:t>号）同时废止。</w:t>
      </w:r>
    </w:p>
    <w:p>
      <w:pPr>
        <w:pStyle w:val="2"/>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YjM0ZjZmYTI3ZDUwMjIwNGU5OGVmYjI4Mjk0NzUifQ=="/>
  </w:docVars>
  <w:rsids>
    <w:rsidRoot w:val="00000000"/>
    <w:rsid w:val="2270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pPr>
    <w:rPr>
      <w:kern w:val="0"/>
      <w:sz w:val="32"/>
      <w:szCs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2023-11-28T03:05:32Z</dcterms:created>
  <dc:creator>lenovo</dc:creator>
  <cp:lastModifiedBy>治鹏</cp:lastModifiedBy>
  <dcterms:modified xsi:type="dcterms:W3CDTF">2023-11-28T03:06:18Z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95C9CA01B3614469931C06A70F930ED3_12</vt:lpwstr>
  </property>
</Properties>
</file>